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259"/>
        <w:tblW w:w="9923" w:type="dxa"/>
        <w:tblCellMar>
          <w:left w:w="0" w:type="dxa"/>
          <w:right w:w="0" w:type="dxa"/>
        </w:tblCellMar>
        <w:tblLook w:val="04A0" w:firstRow="1" w:lastRow="0" w:firstColumn="1" w:lastColumn="0" w:noHBand="0" w:noVBand="1"/>
      </w:tblPr>
      <w:tblGrid>
        <w:gridCol w:w="9923"/>
      </w:tblGrid>
      <w:tr w:rsidR="00A2381E" w:rsidRPr="008C748D" w14:paraId="1ADFE621" w14:textId="77777777" w:rsidTr="00A2381E">
        <w:trPr>
          <w:trHeight w:val="1361"/>
        </w:trPr>
        <w:tc>
          <w:tcPr>
            <w:tcW w:w="9923" w:type="dxa"/>
            <w:vAlign w:val="bottom"/>
          </w:tcPr>
          <w:p w14:paraId="422B86D1" w14:textId="77777777" w:rsidR="00A2381E" w:rsidRPr="00A2381E" w:rsidRDefault="00A2381E" w:rsidP="00A2381E">
            <w:pPr>
              <w:pStyle w:val="DPCmainheading"/>
              <w:rPr>
                <w:i/>
                <w:color w:val="595959" w:themeColor="text1" w:themeTint="A6"/>
              </w:rPr>
            </w:pPr>
            <w:r w:rsidRPr="00A2381E">
              <w:rPr>
                <w:i/>
                <w:color w:val="595959" w:themeColor="text1" w:themeTint="A6"/>
              </w:rPr>
              <w:t>Aboriginal Heritage Act 2006</w:t>
            </w:r>
          </w:p>
        </w:tc>
      </w:tr>
      <w:tr w:rsidR="00A2381E" w:rsidRPr="008C748D" w14:paraId="13FA7BBA" w14:textId="77777777" w:rsidTr="00A2381E">
        <w:trPr>
          <w:trHeight w:val="454"/>
        </w:trPr>
        <w:tc>
          <w:tcPr>
            <w:tcW w:w="9923" w:type="dxa"/>
            <w:tcMar>
              <w:top w:w="284" w:type="dxa"/>
              <w:bottom w:w="454" w:type="dxa"/>
            </w:tcMar>
          </w:tcPr>
          <w:p w14:paraId="1A8C508A" w14:textId="77777777" w:rsidR="00A2381E" w:rsidRPr="00A2381E" w:rsidRDefault="00A2381E" w:rsidP="00A2381E">
            <w:pPr>
              <w:pStyle w:val="DPCmainsubheading"/>
              <w:rPr>
                <w:color w:val="595959" w:themeColor="text1" w:themeTint="A6"/>
              </w:rPr>
            </w:pPr>
            <w:r w:rsidRPr="00A2381E">
              <w:rPr>
                <w:color w:val="595959" w:themeColor="text1" w:themeTint="A6"/>
              </w:rPr>
              <w:t>Practice Note: Subsurface Testing</w:t>
            </w:r>
          </w:p>
        </w:tc>
      </w:tr>
    </w:tbl>
    <w:p w14:paraId="0B694DE3" w14:textId="77777777" w:rsidR="00C07B16" w:rsidRPr="008C748D" w:rsidRDefault="00C07B16" w:rsidP="00C37731">
      <w:pPr>
        <w:pStyle w:val="Spacerparatopoffirstpage"/>
        <w:rPr>
          <w:noProof w:val="0"/>
        </w:rPr>
        <w:sectPr w:rsidR="00C07B16" w:rsidRPr="008C748D" w:rsidSect="00CE750D">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567" w:right="851" w:bottom="1134" w:left="1134" w:header="510" w:footer="510" w:gutter="0"/>
          <w:cols w:space="340"/>
          <w:docGrid w:linePitch="360"/>
        </w:sectPr>
      </w:pPr>
    </w:p>
    <w:p w14:paraId="61DDC399" w14:textId="77777777" w:rsidR="00306E5F" w:rsidRPr="008C748D" w:rsidRDefault="00A2381E" w:rsidP="00C37731">
      <w:pPr>
        <w:pStyle w:val="Spacerparatopoffirstpage"/>
        <w:rPr>
          <w:noProof w:val="0"/>
        </w:rPr>
      </w:pPr>
      <w:r>
        <w:rPr>
          <w:lang w:eastAsia="en-AU"/>
        </w:rPr>
        <w:drawing>
          <wp:anchor distT="0" distB="0" distL="114300" distR="114300" simplePos="0" relativeHeight="251658241" behindDoc="1" locked="1" layoutInCell="0" allowOverlap="1" wp14:anchorId="16DD391C" wp14:editId="3FE49B9F">
            <wp:simplePos x="0" y="0"/>
            <wp:positionH relativeFrom="page">
              <wp:posOffset>-4445</wp:posOffset>
            </wp:positionH>
            <wp:positionV relativeFrom="page">
              <wp:posOffset>394970</wp:posOffset>
            </wp:positionV>
            <wp:extent cx="7563485" cy="1511935"/>
            <wp:effectExtent l="0" t="0" r="0" b="0"/>
            <wp:wrapNone/>
            <wp:docPr id="4" name="Picture 4"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t Sheet Banner Red.png"/>
                    <pic:cNvPicPr/>
                  </pic:nvPicPr>
                  <pic:blipFill>
                    <a:blip r:embed="rId19">
                      <a:extLst>
                        <a:ext uri="{28A0092B-C50C-407E-A947-70E740481C1C}">
                          <a14:useLocalDpi xmlns:a14="http://schemas.microsoft.com/office/drawing/2010/main" val="0"/>
                        </a:ext>
                      </a:extLst>
                    </a:blip>
                    <a:stretch>
                      <a:fillRect/>
                    </a:stretch>
                  </pic:blipFill>
                  <pic:spPr>
                    <a:xfrm>
                      <a:off x="0" y="0"/>
                      <a:ext cx="7563485" cy="1511935"/>
                    </a:xfrm>
                    <a:prstGeom prst="rect">
                      <a:avLst/>
                    </a:prstGeom>
                  </pic:spPr>
                </pic:pic>
              </a:graphicData>
            </a:graphic>
            <wp14:sizeRelH relativeFrom="margin">
              <wp14:pctWidth>0</wp14:pctWidth>
            </wp14:sizeRelH>
            <wp14:sizeRelV relativeFrom="margin">
              <wp14:pctHeight>0</wp14:pctHeight>
            </wp14:sizeRelV>
          </wp:anchor>
        </w:drawing>
      </w:r>
    </w:p>
    <w:p w14:paraId="13A59F06" w14:textId="77777777" w:rsidR="00380303" w:rsidRDefault="00380303" w:rsidP="00A2381E">
      <w:pPr>
        <w:pStyle w:val="DPCbody"/>
        <w:rPr>
          <w:sz w:val="22"/>
        </w:rPr>
      </w:pPr>
    </w:p>
    <w:p w14:paraId="53D265DF" w14:textId="77777777" w:rsidR="002E59B5" w:rsidRPr="00A2381E" w:rsidRDefault="002E59B5" w:rsidP="00A2381E">
      <w:pPr>
        <w:pStyle w:val="DPCbody"/>
        <w:rPr>
          <w:sz w:val="22"/>
        </w:rPr>
      </w:pPr>
      <w:r w:rsidRPr="00A2381E">
        <w:rPr>
          <w:sz w:val="22"/>
        </w:rPr>
        <w:t xml:space="preserve">This Practice Note </w:t>
      </w:r>
      <w:r w:rsidR="00535F9C" w:rsidRPr="00A2381E">
        <w:rPr>
          <w:sz w:val="22"/>
        </w:rPr>
        <w:t>has been</w:t>
      </w:r>
      <w:r w:rsidRPr="00A2381E">
        <w:rPr>
          <w:sz w:val="22"/>
        </w:rPr>
        <w:t xml:space="preserve"> prepared under section 143 of the </w:t>
      </w:r>
      <w:r w:rsidRPr="00A2381E">
        <w:rPr>
          <w:i/>
          <w:sz w:val="22"/>
        </w:rPr>
        <w:t>Aboriginal Heritage Act 2006</w:t>
      </w:r>
      <w:r w:rsidRPr="00A2381E">
        <w:rPr>
          <w:sz w:val="22"/>
        </w:rPr>
        <w:t xml:space="preserve"> (the Act). It provides guidance about subsurface testing as it relates to the preparation of </w:t>
      </w:r>
      <w:r w:rsidR="00535F9C" w:rsidRPr="00A2381E">
        <w:rPr>
          <w:sz w:val="22"/>
        </w:rPr>
        <w:t xml:space="preserve">a </w:t>
      </w:r>
      <w:r w:rsidRPr="00A2381E">
        <w:rPr>
          <w:sz w:val="22"/>
        </w:rPr>
        <w:t>Cu</w:t>
      </w:r>
      <w:r w:rsidR="00535F9C" w:rsidRPr="00A2381E">
        <w:rPr>
          <w:sz w:val="22"/>
        </w:rPr>
        <w:t>ltural Heritage Management Plan</w:t>
      </w:r>
      <w:r w:rsidRPr="00A2381E">
        <w:rPr>
          <w:sz w:val="22"/>
        </w:rPr>
        <w:t xml:space="preserve"> </w:t>
      </w:r>
      <w:r w:rsidR="0023019B" w:rsidRPr="00A2381E">
        <w:rPr>
          <w:sz w:val="22"/>
        </w:rPr>
        <w:t>in accordance with the Act. The</w:t>
      </w:r>
      <w:r w:rsidRPr="00A2381E">
        <w:rPr>
          <w:sz w:val="22"/>
        </w:rPr>
        <w:t xml:space="preserve"> Practice Note covers:</w:t>
      </w:r>
    </w:p>
    <w:p w14:paraId="499AFACC" w14:textId="6846C896" w:rsidR="002E59B5" w:rsidRPr="00A2381E" w:rsidRDefault="00A16C49" w:rsidP="003B2114">
      <w:pPr>
        <w:pStyle w:val="DPCbullet1"/>
        <w:numPr>
          <w:ilvl w:val="0"/>
          <w:numId w:val="7"/>
        </w:numPr>
        <w:rPr>
          <w:color w:val="auto"/>
          <w:sz w:val="22"/>
        </w:rPr>
      </w:pPr>
      <w:r w:rsidRPr="00A2381E">
        <w:rPr>
          <w:color w:val="auto"/>
          <w:sz w:val="22"/>
        </w:rPr>
        <w:t xml:space="preserve">General information about </w:t>
      </w:r>
      <w:r w:rsidR="002E59B5" w:rsidRPr="00A2381E">
        <w:rPr>
          <w:color w:val="auto"/>
          <w:sz w:val="22"/>
        </w:rPr>
        <w:t>Cultural Heritage Management Plan</w:t>
      </w:r>
      <w:r w:rsidR="00535F9C" w:rsidRPr="00A2381E">
        <w:rPr>
          <w:color w:val="auto"/>
          <w:sz w:val="22"/>
        </w:rPr>
        <w:t>s</w:t>
      </w:r>
      <w:r w:rsidR="00D90ADF" w:rsidRPr="00A2381E">
        <w:rPr>
          <w:color w:val="auto"/>
          <w:sz w:val="22"/>
        </w:rPr>
        <w:t xml:space="preserve"> and consultation</w:t>
      </w:r>
    </w:p>
    <w:p w14:paraId="59943555" w14:textId="77777777" w:rsidR="002E59B5" w:rsidRPr="00A2381E" w:rsidRDefault="002E59B5" w:rsidP="003B2114">
      <w:pPr>
        <w:pStyle w:val="DPCbullet1"/>
        <w:numPr>
          <w:ilvl w:val="0"/>
          <w:numId w:val="7"/>
        </w:numPr>
        <w:rPr>
          <w:color w:val="auto"/>
          <w:sz w:val="22"/>
        </w:rPr>
      </w:pPr>
      <w:r w:rsidRPr="00A2381E">
        <w:rPr>
          <w:color w:val="auto"/>
          <w:sz w:val="22"/>
        </w:rPr>
        <w:t xml:space="preserve">When a </w:t>
      </w:r>
      <w:r w:rsidR="00535F9C" w:rsidRPr="00A2381E">
        <w:rPr>
          <w:color w:val="auto"/>
          <w:sz w:val="22"/>
        </w:rPr>
        <w:t>Cultural Heritage Management Plan</w:t>
      </w:r>
      <w:r w:rsidRPr="00A2381E">
        <w:rPr>
          <w:color w:val="auto"/>
          <w:sz w:val="22"/>
        </w:rPr>
        <w:t xml:space="preserve"> may include subsurface testing</w:t>
      </w:r>
    </w:p>
    <w:p w14:paraId="25CED3D3" w14:textId="77777777" w:rsidR="002E59B5" w:rsidRPr="00A2381E" w:rsidRDefault="002E59B5" w:rsidP="003B2114">
      <w:pPr>
        <w:pStyle w:val="DPCbullet1"/>
        <w:numPr>
          <w:ilvl w:val="0"/>
          <w:numId w:val="7"/>
        </w:numPr>
        <w:rPr>
          <w:color w:val="auto"/>
          <w:sz w:val="22"/>
        </w:rPr>
      </w:pPr>
      <w:r w:rsidRPr="00A2381E">
        <w:rPr>
          <w:color w:val="auto"/>
          <w:sz w:val="22"/>
        </w:rPr>
        <w:t>Why subsurface testing may be required</w:t>
      </w:r>
    </w:p>
    <w:p w14:paraId="0AA1063E" w14:textId="77777777" w:rsidR="002E59B5" w:rsidRPr="00A2381E" w:rsidRDefault="008A7280" w:rsidP="003B2114">
      <w:pPr>
        <w:pStyle w:val="DPCbullet1"/>
        <w:numPr>
          <w:ilvl w:val="0"/>
          <w:numId w:val="7"/>
        </w:numPr>
        <w:rPr>
          <w:color w:val="auto"/>
          <w:sz w:val="22"/>
        </w:rPr>
      </w:pPr>
      <w:r w:rsidRPr="00A2381E">
        <w:rPr>
          <w:color w:val="auto"/>
          <w:sz w:val="22"/>
        </w:rPr>
        <w:t>Supervision of</w:t>
      </w:r>
      <w:r w:rsidR="002E59B5" w:rsidRPr="00A2381E">
        <w:rPr>
          <w:color w:val="auto"/>
          <w:sz w:val="22"/>
        </w:rPr>
        <w:t xml:space="preserve"> subsurface testing</w:t>
      </w:r>
    </w:p>
    <w:p w14:paraId="5E794207" w14:textId="77777777" w:rsidR="002E59B5" w:rsidRPr="00A2381E" w:rsidRDefault="008A7280" w:rsidP="003B2114">
      <w:pPr>
        <w:pStyle w:val="DPCbullet1"/>
        <w:numPr>
          <w:ilvl w:val="0"/>
          <w:numId w:val="7"/>
        </w:numPr>
        <w:rPr>
          <w:color w:val="auto"/>
          <w:sz w:val="22"/>
        </w:rPr>
      </w:pPr>
      <w:r w:rsidRPr="00A2381E">
        <w:rPr>
          <w:color w:val="auto"/>
          <w:sz w:val="22"/>
        </w:rPr>
        <w:t>D</w:t>
      </w:r>
      <w:r w:rsidR="002E59B5" w:rsidRPr="00A2381E">
        <w:rPr>
          <w:color w:val="auto"/>
          <w:sz w:val="22"/>
        </w:rPr>
        <w:t>eveloping a subsurface testing strategy and methodology</w:t>
      </w:r>
    </w:p>
    <w:p w14:paraId="6CE6E7A6" w14:textId="77777777" w:rsidR="002E59B5" w:rsidRPr="00A2381E" w:rsidRDefault="002E59B5" w:rsidP="003B2114">
      <w:pPr>
        <w:pStyle w:val="DPCbullet1"/>
        <w:numPr>
          <w:ilvl w:val="0"/>
          <w:numId w:val="7"/>
        </w:numPr>
        <w:rPr>
          <w:color w:val="auto"/>
          <w:sz w:val="22"/>
        </w:rPr>
      </w:pPr>
      <w:r w:rsidRPr="00A2381E">
        <w:rPr>
          <w:color w:val="auto"/>
          <w:sz w:val="22"/>
        </w:rPr>
        <w:t xml:space="preserve">How much </w:t>
      </w:r>
      <w:r w:rsidR="008A7280" w:rsidRPr="00A2381E">
        <w:rPr>
          <w:color w:val="auto"/>
          <w:sz w:val="22"/>
        </w:rPr>
        <w:t>subsurface testing is necessary</w:t>
      </w:r>
    </w:p>
    <w:p w14:paraId="7151B4BA" w14:textId="77777777" w:rsidR="002E59B5" w:rsidRPr="00A2381E" w:rsidRDefault="008A7280" w:rsidP="003B2114">
      <w:pPr>
        <w:pStyle w:val="DPCbullet1"/>
        <w:numPr>
          <w:ilvl w:val="0"/>
          <w:numId w:val="7"/>
        </w:numPr>
        <w:rPr>
          <w:color w:val="auto"/>
          <w:sz w:val="22"/>
        </w:rPr>
      </w:pPr>
      <w:r w:rsidRPr="00A2381E">
        <w:rPr>
          <w:color w:val="auto"/>
          <w:sz w:val="22"/>
        </w:rPr>
        <w:t>S</w:t>
      </w:r>
      <w:r w:rsidR="002E59B5" w:rsidRPr="00A2381E">
        <w:rPr>
          <w:color w:val="auto"/>
          <w:sz w:val="22"/>
        </w:rPr>
        <w:t>ubsurface testing methods and their usefulness</w:t>
      </w:r>
    </w:p>
    <w:p w14:paraId="668F3349" w14:textId="77777777" w:rsidR="002E59B5" w:rsidRPr="00A2381E" w:rsidRDefault="00DD24D4" w:rsidP="003B2114">
      <w:pPr>
        <w:pStyle w:val="DPCbullet1"/>
        <w:numPr>
          <w:ilvl w:val="0"/>
          <w:numId w:val="7"/>
        </w:numPr>
        <w:rPr>
          <w:color w:val="auto"/>
          <w:sz w:val="22"/>
        </w:rPr>
      </w:pPr>
      <w:r w:rsidRPr="00A2381E">
        <w:rPr>
          <w:color w:val="auto"/>
          <w:sz w:val="22"/>
        </w:rPr>
        <w:t>Considerations</w:t>
      </w:r>
      <w:r w:rsidR="002E59B5" w:rsidRPr="00A2381E">
        <w:rPr>
          <w:color w:val="auto"/>
          <w:sz w:val="22"/>
        </w:rPr>
        <w:t xml:space="preserve"> when analysing and reporting on subsurface testing</w:t>
      </w:r>
    </w:p>
    <w:p w14:paraId="1EAF7121" w14:textId="77777777" w:rsidR="002E59B5" w:rsidRPr="00A2381E" w:rsidRDefault="00DD24D4" w:rsidP="003B2114">
      <w:pPr>
        <w:pStyle w:val="DPCbullet1"/>
        <w:numPr>
          <w:ilvl w:val="0"/>
          <w:numId w:val="7"/>
        </w:numPr>
        <w:rPr>
          <w:color w:val="auto"/>
          <w:sz w:val="22"/>
        </w:rPr>
      </w:pPr>
      <w:r w:rsidRPr="00A2381E">
        <w:rPr>
          <w:color w:val="auto"/>
          <w:sz w:val="22"/>
        </w:rPr>
        <w:t>A</w:t>
      </w:r>
      <w:r w:rsidR="002E59B5" w:rsidRPr="00A2381E">
        <w:rPr>
          <w:color w:val="auto"/>
          <w:sz w:val="22"/>
        </w:rPr>
        <w:t>rchaeological standards relevant to subsurface testing.</w:t>
      </w:r>
    </w:p>
    <w:p w14:paraId="4B93D142" w14:textId="77777777" w:rsidR="0056575B" w:rsidRPr="00A2381E" w:rsidRDefault="0023019B" w:rsidP="0056575B">
      <w:pPr>
        <w:pStyle w:val="BodyTextIndent"/>
        <w:numPr>
          <w:ilvl w:val="0"/>
          <w:numId w:val="0"/>
        </w:numPr>
        <w:spacing w:before="0" w:after="60" w:line="300" w:lineRule="atLeast"/>
        <w:rPr>
          <w:rFonts w:asciiTheme="minorHAnsi" w:eastAsia="Times" w:hAnsiTheme="minorHAnsi" w:cs="Arial"/>
          <w:color w:val="000000" w:themeColor="text1"/>
          <w:sz w:val="22"/>
          <w:szCs w:val="22"/>
        </w:rPr>
      </w:pPr>
      <w:r w:rsidRPr="00A2381E">
        <w:rPr>
          <w:rFonts w:asciiTheme="minorHAnsi" w:eastAsia="Times" w:hAnsiTheme="minorHAnsi" w:cs="Arial"/>
          <w:color w:val="000000" w:themeColor="text1"/>
          <w:sz w:val="22"/>
          <w:szCs w:val="22"/>
        </w:rPr>
        <w:t>Finally, a series of scenarios are presented as examples to illustrate the application of topics discussed in the Practice Note.</w:t>
      </w:r>
    </w:p>
    <w:p w14:paraId="00CFBBC1" w14:textId="77777777" w:rsidR="00BC7ED7" w:rsidRPr="00A2381E" w:rsidRDefault="004F229A" w:rsidP="00AF73C8">
      <w:pPr>
        <w:pStyle w:val="Heading2"/>
        <w:rPr>
          <w:color w:val="0072CE"/>
        </w:rPr>
      </w:pPr>
      <w:r w:rsidRPr="00A2381E">
        <w:rPr>
          <w:color w:val="0072CE"/>
        </w:rPr>
        <w:t>What is a Cultural Heritage Management Plan?</w:t>
      </w:r>
    </w:p>
    <w:p w14:paraId="3C62885F" w14:textId="61BF4CB6" w:rsidR="004F229A" w:rsidRPr="00A2381E" w:rsidRDefault="004F229A" w:rsidP="004F229A">
      <w:pPr>
        <w:pStyle w:val="DPCbody"/>
        <w:rPr>
          <w:sz w:val="22"/>
        </w:rPr>
      </w:pPr>
      <w:r w:rsidRPr="00A2381E">
        <w:rPr>
          <w:sz w:val="22"/>
        </w:rPr>
        <w:t>A Cultural Heritage Management Plan (</w:t>
      </w:r>
      <w:r w:rsidR="003F01C4" w:rsidRPr="00A2381E">
        <w:rPr>
          <w:sz w:val="22"/>
        </w:rPr>
        <w:t>CHMP)</w:t>
      </w:r>
      <w:r w:rsidRPr="00A2381E">
        <w:rPr>
          <w:sz w:val="22"/>
        </w:rPr>
        <w:t xml:space="preserve"> is required for an activity (the </w:t>
      </w:r>
      <w:r w:rsidR="003F01C4" w:rsidRPr="00A2381E">
        <w:rPr>
          <w:sz w:val="22"/>
        </w:rPr>
        <w:t xml:space="preserve">development or </w:t>
      </w:r>
      <w:r w:rsidRPr="00A2381E">
        <w:rPr>
          <w:sz w:val="22"/>
        </w:rPr>
        <w:t>use of land) if all or part of the activity is a high impact activity and all or part of the activity area is an area of cultural heritage sensitivity. The terms ‘high impact activity’ and ‘</w:t>
      </w:r>
      <w:r w:rsidR="00D63A22" w:rsidRPr="00A2381E">
        <w:rPr>
          <w:sz w:val="22"/>
        </w:rPr>
        <w:t xml:space="preserve">area of </w:t>
      </w:r>
      <w:r w:rsidRPr="00A2381E">
        <w:rPr>
          <w:sz w:val="22"/>
        </w:rPr>
        <w:t>cultural heritage sensitivity’ are defined in the Abor</w:t>
      </w:r>
      <w:r w:rsidR="00A3641C">
        <w:rPr>
          <w:sz w:val="22"/>
        </w:rPr>
        <w:t>iginal Heritage Regulations 2018</w:t>
      </w:r>
      <w:r w:rsidRPr="00A2381E">
        <w:rPr>
          <w:sz w:val="22"/>
        </w:rPr>
        <w:t xml:space="preserve"> (the Regulations). A </w:t>
      </w:r>
      <w:r w:rsidR="00D63A22" w:rsidRPr="00A2381E">
        <w:rPr>
          <w:sz w:val="22"/>
        </w:rPr>
        <w:t>CHMP</w:t>
      </w:r>
      <w:r w:rsidRPr="00A2381E">
        <w:rPr>
          <w:sz w:val="22"/>
        </w:rPr>
        <w:t xml:space="preserve"> must also be prepared when an activity requires an Environmental Effects Statement, or when directed by the </w:t>
      </w:r>
      <w:r w:rsidR="007C7AA6" w:rsidRPr="007C7AA6">
        <w:rPr>
          <w:sz w:val="22"/>
        </w:rPr>
        <w:t>Minister for First Peoples</w:t>
      </w:r>
      <w:r w:rsidRPr="00A2381E">
        <w:rPr>
          <w:sz w:val="22"/>
        </w:rPr>
        <w:t xml:space="preserve">. A person may also elect to prepare a </w:t>
      </w:r>
      <w:r w:rsidR="00D63A22" w:rsidRPr="00A2381E">
        <w:rPr>
          <w:sz w:val="22"/>
        </w:rPr>
        <w:t>CHMP</w:t>
      </w:r>
      <w:r w:rsidRPr="00A2381E">
        <w:rPr>
          <w:sz w:val="22"/>
        </w:rPr>
        <w:t xml:space="preserve"> even if not required </w:t>
      </w:r>
      <w:r w:rsidR="00D63A22" w:rsidRPr="00A2381E">
        <w:rPr>
          <w:sz w:val="22"/>
        </w:rPr>
        <w:t xml:space="preserve">to </w:t>
      </w:r>
      <w:r w:rsidRPr="00A2381E">
        <w:rPr>
          <w:sz w:val="22"/>
        </w:rPr>
        <w:t>under the Act.</w:t>
      </w:r>
    </w:p>
    <w:p w14:paraId="2B167344" w14:textId="009CA885" w:rsidR="004F229A" w:rsidRPr="00A2381E" w:rsidRDefault="004F229A" w:rsidP="004F229A">
      <w:pPr>
        <w:pStyle w:val="DPCbody"/>
        <w:rPr>
          <w:sz w:val="22"/>
        </w:rPr>
      </w:pPr>
      <w:r w:rsidRPr="00A2381E">
        <w:rPr>
          <w:sz w:val="22"/>
        </w:rPr>
        <w:t xml:space="preserve">An approved </w:t>
      </w:r>
      <w:r w:rsidR="00D63A22" w:rsidRPr="00A2381E">
        <w:rPr>
          <w:sz w:val="22"/>
        </w:rPr>
        <w:t>CHMP</w:t>
      </w:r>
      <w:r w:rsidRPr="00A2381E">
        <w:rPr>
          <w:sz w:val="22"/>
        </w:rPr>
        <w:t xml:space="preserve"> must be submitted by the </w:t>
      </w:r>
      <w:r w:rsidR="00D63A22" w:rsidRPr="00A2381E">
        <w:rPr>
          <w:sz w:val="22"/>
        </w:rPr>
        <w:t>‘</w:t>
      </w:r>
      <w:r w:rsidR="001F5F5A">
        <w:rPr>
          <w:sz w:val="22"/>
        </w:rPr>
        <w:t>S</w:t>
      </w:r>
      <w:r w:rsidRPr="00A2381E">
        <w:rPr>
          <w:sz w:val="22"/>
        </w:rPr>
        <w:t>ponsor</w:t>
      </w:r>
      <w:r w:rsidR="00D63A22" w:rsidRPr="00A2381E">
        <w:rPr>
          <w:sz w:val="22"/>
        </w:rPr>
        <w:t>’</w:t>
      </w:r>
      <w:r w:rsidRPr="00A2381E">
        <w:rPr>
          <w:sz w:val="22"/>
        </w:rPr>
        <w:t xml:space="preserve"> of an activity to a responsible authority before the necessary statutory approval can be granted and/or before works can start. </w:t>
      </w:r>
    </w:p>
    <w:p w14:paraId="1750B2F9" w14:textId="636046BB" w:rsidR="004F229A" w:rsidRPr="00A2381E" w:rsidRDefault="004F229A" w:rsidP="004F229A">
      <w:pPr>
        <w:pStyle w:val="DPCbody"/>
        <w:rPr>
          <w:sz w:val="22"/>
        </w:rPr>
      </w:pPr>
      <w:r w:rsidRPr="00A2381E">
        <w:rPr>
          <w:sz w:val="22"/>
        </w:rPr>
        <w:t xml:space="preserve">A </w:t>
      </w:r>
      <w:r w:rsidR="00D63A22" w:rsidRPr="00A2381E">
        <w:rPr>
          <w:sz w:val="22"/>
        </w:rPr>
        <w:t>CHMP</w:t>
      </w:r>
      <w:r w:rsidRPr="00A2381E">
        <w:rPr>
          <w:sz w:val="22"/>
        </w:rPr>
        <w:t xml:space="preserve"> involves an assessment of an area to determine the nature and extent of any Aboriginal cultural heritage that may be present. </w:t>
      </w:r>
      <w:r w:rsidR="00D63A22" w:rsidRPr="00A2381E">
        <w:rPr>
          <w:sz w:val="22"/>
        </w:rPr>
        <w:t>This information</w:t>
      </w:r>
      <w:r w:rsidRPr="00A2381E">
        <w:rPr>
          <w:sz w:val="22"/>
        </w:rPr>
        <w:t xml:space="preserve"> may be </w:t>
      </w:r>
      <w:r w:rsidR="00D63A22" w:rsidRPr="00A2381E">
        <w:rPr>
          <w:sz w:val="22"/>
        </w:rPr>
        <w:t>obtained</w:t>
      </w:r>
      <w:r w:rsidRPr="00A2381E">
        <w:rPr>
          <w:sz w:val="22"/>
        </w:rPr>
        <w:t xml:space="preserve"> through background research</w:t>
      </w:r>
      <w:r w:rsidR="001F5F5A">
        <w:rPr>
          <w:sz w:val="22"/>
        </w:rPr>
        <w:t xml:space="preserve"> (Desktop Assessment)</w:t>
      </w:r>
      <w:r w:rsidRPr="00A2381E">
        <w:rPr>
          <w:sz w:val="22"/>
        </w:rPr>
        <w:t xml:space="preserve">, interviews with </w:t>
      </w:r>
      <w:r w:rsidR="00D63A22" w:rsidRPr="00A2381E">
        <w:rPr>
          <w:sz w:val="22"/>
        </w:rPr>
        <w:t>Traditional Owners</w:t>
      </w:r>
      <w:r w:rsidRPr="00A2381E">
        <w:rPr>
          <w:sz w:val="22"/>
        </w:rPr>
        <w:t>, a ground surface survey</w:t>
      </w:r>
      <w:r w:rsidR="001F5F5A">
        <w:rPr>
          <w:sz w:val="22"/>
        </w:rPr>
        <w:t xml:space="preserve"> (Standard Assessment)</w:t>
      </w:r>
      <w:r w:rsidRPr="00A2381E">
        <w:rPr>
          <w:sz w:val="22"/>
        </w:rPr>
        <w:t>, subsurface testing and/or archaeological excavation</w:t>
      </w:r>
      <w:r w:rsidR="001F5F5A">
        <w:rPr>
          <w:sz w:val="22"/>
        </w:rPr>
        <w:t xml:space="preserve"> (Complex Assessment)</w:t>
      </w:r>
      <w:r w:rsidRPr="00A2381E">
        <w:rPr>
          <w:sz w:val="22"/>
        </w:rPr>
        <w:t xml:space="preserve">. </w:t>
      </w:r>
    </w:p>
    <w:p w14:paraId="0DEEC7F0" w14:textId="6D019E1D" w:rsidR="00A2381E" w:rsidRDefault="004F229A" w:rsidP="004F229A">
      <w:pPr>
        <w:pStyle w:val="DPCbody"/>
        <w:rPr>
          <w:sz w:val="22"/>
        </w:rPr>
      </w:pPr>
      <w:r w:rsidRPr="00A2381E">
        <w:rPr>
          <w:sz w:val="22"/>
        </w:rPr>
        <w:t xml:space="preserve">A </w:t>
      </w:r>
      <w:r w:rsidR="00D63A22" w:rsidRPr="00A2381E">
        <w:rPr>
          <w:sz w:val="22"/>
        </w:rPr>
        <w:t>CHMP</w:t>
      </w:r>
      <w:r w:rsidRPr="00A2381E">
        <w:rPr>
          <w:sz w:val="22"/>
        </w:rPr>
        <w:t xml:space="preserve"> determines how the proposed activity can be carried out </w:t>
      </w:r>
      <w:r w:rsidR="00D63A22" w:rsidRPr="00A2381E">
        <w:rPr>
          <w:sz w:val="22"/>
        </w:rPr>
        <w:t>while avoiding</w:t>
      </w:r>
      <w:r w:rsidRPr="00A2381E">
        <w:rPr>
          <w:sz w:val="22"/>
        </w:rPr>
        <w:t xml:space="preserve"> harm to any Aboriginal cultural heritage present. If this is not possible, it considers how to conduct the activity in a way that minimises harm. For more information about </w:t>
      </w:r>
      <w:r w:rsidR="00D63A22" w:rsidRPr="00A2381E">
        <w:rPr>
          <w:sz w:val="22"/>
        </w:rPr>
        <w:t>CHMPs</w:t>
      </w:r>
      <w:r w:rsidRPr="00A2381E">
        <w:rPr>
          <w:sz w:val="22"/>
        </w:rPr>
        <w:t xml:space="preserve"> see the </w:t>
      </w:r>
      <w:r w:rsidR="001F5F5A">
        <w:rPr>
          <w:sz w:val="22"/>
        </w:rPr>
        <w:t>First Peoples – State Relations (FPSR</w:t>
      </w:r>
      <w:r w:rsidRPr="00A2381E">
        <w:rPr>
          <w:sz w:val="22"/>
        </w:rPr>
        <w:t>) website at:</w:t>
      </w:r>
      <w:r w:rsidR="00A2381E">
        <w:rPr>
          <w:sz w:val="22"/>
        </w:rPr>
        <w:t xml:space="preserve"> </w:t>
      </w:r>
      <w:r w:rsidR="001F5F5A" w:rsidRPr="001F5F5A">
        <w:t xml:space="preserve"> </w:t>
      </w:r>
      <w:hyperlink r:id="rId20" w:history="1">
        <w:r w:rsidR="00066334" w:rsidRPr="005857F8">
          <w:rPr>
            <w:rStyle w:val="Hyperlink"/>
            <w:sz w:val="22"/>
          </w:rPr>
          <w:t>https://www.firstpeoplesrelations.vic.gov.au/cultural-heritage-management-plans</w:t>
        </w:r>
      </w:hyperlink>
    </w:p>
    <w:p w14:paraId="1C270FA1" w14:textId="77777777" w:rsidR="004F229A" w:rsidRPr="00A2381E" w:rsidRDefault="004F229A" w:rsidP="00A2381E">
      <w:pPr>
        <w:pStyle w:val="Heading2"/>
        <w:rPr>
          <w:color w:val="0072CE"/>
        </w:rPr>
      </w:pPr>
      <w:r w:rsidRPr="00A2381E">
        <w:rPr>
          <w:color w:val="0072CE"/>
        </w:rPr>
        <w:lastRenderedPageBreak/>
        <w:t xml:space="preserve">When may a </w:t>
      </w:r>
      <w:r w:rsidR="00175CCE" w:rsidRPr="00A2381E">
        <w:rPr>
          <w:color w:val="0072CE"/>
        </w:rPr>
        <w:t>CHMP</w:t>
      </w:r>
      <w:r w:rsidRPr="00A2381E">
        <w:rPr>
          <w:color w:val="0072CE"/>
        </w:rPr>
        <w:t xml:space="preserve"> include subsurface testing?</w:t>
      </w:r>
    </w:p>
    <w:p w14:paraId="218F64DD" w14:textId="7B42CB7D" w:rsidR="004F229A" w:rsidRPr="00A2381E" w:rsidRDefault="004F229A" w:rsidP="004F229A">
      <w:pPr>
        <w:pStyle w:val="DPCbody"/>
        <w:rPr>
          <w:sz w:val="22"/>
        </w:rPr>
      </w:pPr>
      <w:r w:rsidRPr="00A2381E">
        <w:rPr>
          <w:sz w:val="22"/>
        </w:rPr>
        <w:t xml:space="preserve">The Regulations prescribe standards for preparing </w:t>
      </w:r>
      <w:r w:rsidR="00175CCE" w:rsidRPr="00A2381E">
        <w:rPr>
          <w:sz w:val="22"/>
        </w:rPr>
        <w:t>CHMPs</w:t>
      </w:r>
      <w:r w:rsidRPr="00A2381E">
        <w:rPr>
          <w:sz w:val="22"/>
        </w:rPr>
        <w:t xml:space="preserve"> based on the level of assessment required to develop the plan. In some </w:t>
      </w:r>
      <w:r w:rsidR="00C4190B" w:rsidRPr="00A2381E">
        <w:rPr>
          <w:sz w:val="22"/>
        </w:rPr>
        <w:t>cases,</w:t>
      </w:r>
      <w:r w:rsidRPr="00A2381E">
        <w:rPr>
          <w:sz w:val="22"/>
        </w:rPr>
        <w:t xml:space="preserve"> a </w:t>
      </w:r>
      <w:r w:rsidR="00534E87" w:rsidRPr="00A2381E">
        <w:rPr>
          <w:sz w:val="22"/>
        </w:rPr>
        <w:t>‘</w:t>
      </w:r>
      <w:r w:rsidRPr="00A2381E">
        <w:rPr>
          <w:sz w:val="22"/>
        </w:rPr>
        <w:t>standard assessment</w:t>
      </w:r>
      <w:r w:rsidR="00534E87" w:rsidRPr="00A2381E">
        <w:rPr>
          <w:sz w:val="22"/>
        </w:rPr>
        <w:t>’</w:t>
      </w:r>
      <w:r w:rsidRPr="00A2381E">
        <w:rPr>
          <w:sz w:val="22"/>
        </w:rPr>
        <w:t xml:space="preserve"> may be all that is required, while in other circumstances a </w:t>
      </w:r>
      <w:r w:rsidR="00534E87" w:rsidRPr="00A2381E">
        <w:rPr>
          <w:sz w:val="22"/>
        </w:rPr>
        <w:t>‘</w:t>
      </w:r>
      <w:r w:rsidRPr="00A2381E">
        <w:rPr>
          <w:sz w:val="22"/>
        </w:rPr>
        <w:t>complex assessment</w:t>
      </w:r>
      <w:r w:rsidR="00534E87" w:rsidRPr="00A2381E">
        <w:rPr>
          <w:sz w:val="22"/>
        </w:rPr>
        <w:t>’</w:t>
      </w:r>
      <w:r w:rsidRPr="00A2381E">
        <w:rPr>
          <w:sz w:val="22"/>
        </w:rPr>
        <w:t xml:space="preserve"> may be required. </w:t>
      </w:r>
    </w:p>
    <w:p w14:paraId="151D2FCE" w14:textId="77777777" w:rsidR="004F229A" w:rsidRPr="00A2381E" w:rsidRDefault="004F229A" w:rsidP="004F229A">
      <w:pPr>
        <w:pStyle w:val="DPCbody"/>
        <w:rPr>
          <w:sz w:val="22"/>
        </w:rPr>
      </w:pPr>
      <w:r w:rsidRPr="00A2381E">
        <w:rPr>
          <w:sz w:val="22"/>
        </w:rPr>
        <w:t xml:space="preserve">Regulation 59(4) specifies that a standard assessment may include the following subsurface investigations: ground penetrating radar survey, resistivity survey, remote sensing, ground magnetic survey, electromagnetic survey, and soil and sediment testing with a manual auger no larger than 12cm in diameter. </w:t>
      </w:r>
    </w:p>
    <w:p w14:paraId="55C5888C" w14:textId="1CE2FE79" w:rsidR="001D1E91" w:rsidRPr="00A2381E" w:rsidRDefault="004F229A" w:rsidP="004F229A">
      <w:pPr>
        <w:pStyle w:val="DPCbody"/>
        <w:rPr>
          <w:sz w:val="22"/>
        </w:rPr>
      </w:pPr>
      <w:r w:rsidRPr="00A2381E">
        <w:rPr>
          <w:sz w:val="22"/>
        </w:rPr>
        <w:t xml:space="preserve">In accordance with Regulation </w:t>
      </w:r>
      <w:r w:rsidRPr="00045700">
        <w:rPr>
          <w:sz w:val="22"/>
        </w:rPr>
        <w:t>6</w:t>
      </w:r>
      <w:r w:rsidR="00045700">
        <w:rPr>
          <w:sz w:val="22"/>
        </w:rPr>
        <w:t>4</w:t>
      </w:r>
      <w:r w:rsidRPr="00A2381E">
        <w:rPr>
          <w:sz w:val="22"/>
        </w:rPr>
        <w:t>, a complex assessment is required when Aboriginal cultural heritage is, or is likely to be, present in the activity area, and when it is not possible to identify the nature, extent, and significance of the Aboriginal cultural heritage unless a complex assessment is carried out. A complex assessment involves the disturbance (or excavation) of part of the activity area to uncover or discover Aboriginal cultural heritage (Regulation 6</w:t>
      </w:r>
      <w:r w:rsidR="001D2E86">
        <w:rPr>
          <w:sz w:val="22"/>
        </w:rPr>
        <w:t>5</w:t>
      </w:r>
      <w:r w:rsidRPr="00A2381E">
        <w:rPr>
          <w:sz w:val="22"/>
        </w:rPr>
        <w:t xml:space="preserve">(1)). </w:t>
      </w:r>
      <w:r w:rsidR="00994E97" w:rsidRPr="00A2381E">
        <w:rPr>
          <w:sz w:val="22"/>
        </w:rPr>
        <w:t>This</w:t>
      </w:r>
      <w:r w:rsidRPr="00A2381E">
        <w:rPr>
          <w:sz w:val="22"/>
        </w:rPr>
        <w:t xml:space="preserve"> is referred to as subsurface testing</w:t>
      </w:r>
      <w:r w:rsidR="00AB04F9" w:rsidRPr="00A2381E">
        <w:rPr>
          <w:sz w:val="22"/>
        </w:rPr>
        <w:t xml:space="preserve">, requirements for which are detailed in </w:t>
      </w:r>
      <w:r w:rsidRPr="00FD55EA">
        <w:rPr>
          <w:sz w:val="22"/>
        </w:rPr>
        <w:t>Regulation 6</w:t>
      </w:r>
      <w:r w:rsidR="001D2E86" w:rsidRPr="00FD55EA">
        <w:rPr>
          <w:sz w:val="22"/>
        </w:rPr>
        <w:t>5</w:t>
      </w:r>
      <w:r w:rsidRPr="00A2381E">
        <w:rPr>
          <w:sz w:val="22"/>
        </w:rPr>
        <w:t>. A complex assessment is not required if the proposed activity will not harm Aboriginal cultural heritage in that area (Regulation 6</w:t>
      </w:r>
      <w:r w:rsidR="001D2E86">
        <w:rPr>
          <w:sz w:val="22"/>
        </w:rPr>
        <w:t>4</w:t>
      </w:r>
      <w:r w:rsidRPr="00A2381E">
        <w:rPr>
          <w:sz w:val="22"/>
        </w:rPr>
        <w:t>(2)).</w:t>
      </w:r>
    </w:p>
    <w:p w14:paraId="22F09755" w14:textId="77777777" w:rsidR="004F229A" w:rsidRPr="00A2381E" w:rsidRDefault="004F229A" w:rsidP="00A2381E">
      <w:pPr>
        <w:pStyle w:val="Heading2"/>
        <w:rPr>
          <w:color w:val="0072CE"/>
        </w:rPr>
      </w:pPr>
      <w:r w:rsidRPr="00A2381E">
        <w:rPr>
          <w:color w:val="0072CE"/>
        </w:rPr>
        <w:t>Why may subsurface testing be required?</w:t>
      </w:r>
    </w:p>
    <w:p w14:paraId="02EA4B95" w14:textId="77777777" w:rsidR="004F229A" w:rsidRPr="00A2381E" w:rsidRDefault="004F229A" w:rsidP="004F229A">
      <w:pPr>
        <w:pStyle w:val="DPCbody"/>
        <w:rPr>
          <w:sz w:val="22"/>
        </w:rPr>
      </w:pPr>
      <w:r w:rsidRPr="00A2381E">
        <w:rPr>
          <w:sz w:val="22"/>
        </w:rPr>
        <w:t>Subsurface testing may be required to determine:</w:t>
      </w:r>
    </w:p>
    <w:p w14:paraId="71625357" w14:textId="77777777" w:rsidR="004F229A" w:rsidRPr="00A2381E" w:rsidRDefault="004F229A" w:rsidP="003B2114">
      <w:pPr>
        <w:pStyle w:val="DPCbullet1"/>
        <w:numPr>
          <w:ilvl w:val="0"/>
          <w:numId w:val="7"/>
        </w:numPr>
        <w:rPr>
          <w:color w:val="auto"/>
          <w:sz w:val="22"/>
        </w:rPr>
      </w:pPr>
      <w:r w:rsidRPr="00A2381E">
        <w:rPr>
          <w:color w:val="auto"/>
          <w:sz w:val="22"/>
        </w:rPr>
        <w:t>the stratigraphy and general subsurface nature of the area being investigated;</w:t>
      </w:r>
    </w:p>
    <w:p w14:paraId="642423FF" w14:textId="77777777" w:rsidR="004F229A" w:rsidRPr="00A2381E" w:rsidRDefault="004F229A" w:rsidP="003B2114">
      <w:pPr>
        <w:pStyle w:val="DPCbullet1"/>
        <w:numPr>
          <w:ilvl w:val="0"/>
          <w:numId w:val="7"/>
        </w:numPr>
        <w:rPr>
          <w:color w:val="auto"/>
          <w:sz w:val="22"/>
        </w:rPr>
      </w:pPr>
      <w:r w:rsidRPr="00A2381E">
        <w:rPr>
          <w:color w:val="auto"/>
          <w:sz w:val="22"/>
        </w:rPr>
        <w:t>whether there may be subsurface cultural deposits present in areas of impact or where</w:t>
      </w:r>
      <w:r w:rsidR="00AB04F9" w:rsidRPr="00A2381E">
        <w:rPr>
          <w:color w:val="auto"/>
          <w:sz w:val="22"/>
        </w:rPr>
        <w:t xml:space="preserve"> the surface visibility is poor</w:t>
      </w:r>
      <w:r w:rsidRPr="00A2381E">
        <w:rPr>
          <w:color w:val="auto"/>
          <w:sz w:val="22"/>
        </w:rPr>
        <w:t>;</w:t>
      </w:r>
    </w:p>
    <w:p w14:paraId="0622D0CC" w14:textId="3B8B18CC" w:rsidR="001D1E91" w:rsidRPr="00463D23" w:rsidRDefault="004F229A" w:rsidP="003B2114">
      <w:pPr>
        <w:pStyle w:val="DPCbullet1"/>
        <w:numPr>
          <w:ilvl w:val="0"/>
          <w:numId w:val="7"/>
        </w:numPr>
        <w:rPr>
          <w:sz w:val="22"/>
        </w:rPr>
      </w:pPr>
      <w:r w:rsidRPr="00A2381E">
        <w:rPr>
          <w:color w:val="auto"/>
          <w:sz w:val="22"/>
        </w:rPr>
        <w:t>the nature, extent and significance of any cultural heritage visible</w:t>
      </w:r>
      <w:r w:rsidR="00AB04F9" w:rsidRPr="00A2381E">
        <w:rPr>
          <w:color w:val="auto"/>
          <w:sz w:val="22"/>
        </w:rPr>
        <w:t xml:space="preserve"> on the surface of the ground </w:t>
      </w:r>
      <w:r w:rsidRPr="00463D23">
        <w:rPr>
          <w:sz w:val="22"/>
        </w:rPr>
        <w:t>likely to continue below the surface.</w:t>
      </w:r>
      <w:r w:rsidR="00772EE1" w:rsidRPr="00463D23">
        <w:rPr>
          <w:sz w:val="22"/>
        </w:rPr>
        <w:t xml:space="preserve"> </w:t>
      </w:r>
    </w:p>
    <w:p w14:paraId="6EC35698" w14:textId="77777777" w:rsidR="005F023E" w:rsidRPr="00463D23" w:rsidRDefault="005F023E" w:rsidP="005F023E">
      <w:pPr>
        <w:pStyle w:val="DPCbullet1"/>
        <w:ind w:left="360"/>
        <w:rPr>
          <w:sz w:val="22"/>
        </w:rPr>
      </w:pPr>
    </w:p>
    <w:p w14:paraId="26C166BC" w14:textId="5EC85632" w:rsidR="00214B08" w:rsidRPr="00463D23" w:rsidRDefault="00214B08" w:rsidP="00BD78F3">
      <w:pPr>
        <w:pStyle w:val="DPCbody"/>
        <w:rPr>
          <w:sz w:val="22"/>
        </w:rPr>
      </w:pPr>
      <w:r w:rsidRPr="00463D23">
        <w:rPr>
          <w:sz w:val="22"/>
        </w:rPr>
        <w:t>Complex investigation should only be undertaken where needed to define the extent, nature and significance of dense stratified deposits of cultural material</w:t>
      </w:r>
      <w:r w:rsidR="002D5A82" w:rsidRPr="00463D23">
        <w:rPr>
          <w:sz w:val="22"/>
        </w:rPr>
        <w:t xml:space="preserve">, not for low density artefact scatters or </w:t>
      </w:r>
      <w:r w:rsidR="00E71115" w:rsidRPr="00463D23">
        <w:rPr>
          <w:sz w:val="22"/>
        </w:rPr>
        <w:t>diffuse costal shell scatters</w:t>
      </w:r>
      <w:r w:rsidRPr="00463D23">
        <w:rPr>
          <w:sz w:val="22"/>
        </w:rPr>
        <w:t xml:space="preserve">. </w:t>
      </w:r>
    </w:p>
    <w:p w14:paraId="67BE56DF" w14:textId="20A68A0F" w:rsidR="00214B08" w:rsidRPr="00463D23" w:rsidRDefault="00214B08" w:rsidP="00BD78F3">
      <w:pPr>
        <w:pStyle w:val="DPCbody"/>
        <w:rPr>
          <w:sz w:val="22"/>
        </w:rPr>
      </w:pPr>
      <w:r w:rsidRPr="00463D23">
        <w:rPr>
          <w:sz w:val="22"/>
        </w:rPr>
        <w:t xml:space="preserve">Dense stratified deposits of cultural material can often only be investigated using sub-surface investigation, such as is required in a complex assessment, meeting the requirements of regulation 64(1)(b). In contrast, low densities of artefacts are not generally indicative of </w:t>
      </w:r>
      <w:proofErr w:type="gramStart"/>
      <w:r w:rsidRPr="00463D23">
        <w:rPr>
          <w:i/>
          <w:iCs/>
          <w:sz w:val="22"/>
        </w:rPr>
        <w:t>particular</w:t>
      </w:r>
      <w:r w:rsidRPr="00463D23">
        <w:rPr>
          <w:sz w:val="22"/>
        </w:rPr>
        <w:t xml:space="preserve"> cultural</w:t>
      </w:r>
      <w:proofErr w:type="gramEnd"/>
      <w:r w:rsidRPr="00463D23">
        <w:rPr>
          <w:sz w:val="22"/>
        </w:rPr>
        <w:t xml:space="preserve"> </w:t>
      </w:r>
      <w:r w:rsidRPr="00463D23">
        <w:rPr>
          <w:sz w:val="22"/>
        </w:rPr>
        <w:t xml:space="preserve">heritage significance. </w:t>
      </w:r>
    </w:p>
    <w:p w14:paraId="23D244BC" w14:textId="5281D021" w:rsidR="00FF2E0B" w:rsidRPr="002C068E" w:rsidRDefault="00FF2E0B" w:rsidP="00BD78F3">
      <w:pPr>
        <w:pStyle w:val="DPCbody"/>
        <w:rPr>
          <w:color w:val="FF0000"/>
          <w:sz w:val="22"/>
        </w:rPr>
      </w:pPr>
      <w:r w:rsidRPr="00463D23">
        <w:rPr>
          <w:sz w:val="22"/>
        </w:rPr>
        <w:t xml:space="preserve">Where demonstrable reasons exist because of archaeological or cultural knowledge to progress to a complex assessment, the </w:t>
      </w:r>
      <w:r w:rsidR="00786A4B" w:rsidRPr="00463D23">
        <w:rPr>
          <w:sz w:val="22"/>
        </w:rPr>
        <w:t>Heritage Advisor (</w:t>
      </w:r>
      <w:r w:rsidRPr="00463D23">
        <w:rPr>
          <w:sz w:val="22"/>
        </w:rPr>
        <w:t>HA</w:t>
      </w:r>
      <w:r w:rsidR="00786A4B" w:rsidRPr="00463D23">
        <w:rPr>
          <w:sz w:val="22"/>
        </w:rPr>
        <w:t>)</w:t>
      </w:r>
      <w:r w:rsidRPr="00463D23">
        <w:rPr>
          <w:sz w:val="22"/>
        </w:rPr>
        <w:t xml:space="preserve"> will determine </w:t>
      </w:r>
      <w:r w:rsidR="00A7344B" w:rsidRPr="00463D23">
        <w:rPr>
          <w:sz w:val="22"/>
        </w:rPr>
        <w:t xml:space="preserve">with </w:t>
      </w:r>
      <w:r w:rsidR="0033469A" w:rsidRPr="00463D23">
        <w:rPr>
          <w:sz w:val="22"/>
        </w:rPr>
        <w:t xml:space="preserve">the </w:t>
      </w:r>
      <w:r w:rsidR="00A7344B" w:rsidRPr="00463D23">
        <w:rPr>
          <w:sz w:val="22"/>
        </w:rPr>
        <w:t>RAP</w:t>
      </w:r>
      <w:r w:rsidR="002830C4" w:rsidRPr="00463D23">
        <w:rPr>
          <w:sz w:val="22"/>
        </w:rPr>
        <w:t xml:space="preserve"> the</w:t>
      </w:r>
      <w:r w:rsidR="00A7344B" w:rsidRPr="00463D23">
        <w:rPr>
          <w:sz w:val="22"/>
        </w:rPr>
        <w:t xml:space="preserve"> </w:t>
      </w:r>
      <w:r w:rsidRPr="00463D23">
        <w:rPr>
          <w:sz w:val="22"/>
        </w:rPr>
        <w:t xml:space="preserve">appropriate </w:t>
      </w:r>
      <w:r w:rsidR="00680066" w:rsidRPr="00463D23">
        <w:rPr>
          <w:sz w:val="22"/>
        </w:rPr>
        <w:t>method of</w:t>
      </w:r>
      <w:r w:rsidR="0033469A" w:rsidRPr="00463D23">
        <w:rPr>
          <w:sz w:val="22"/>
        </w:rPr>
        <w:t xml:space="preserve"> </w:t>
      </w:r>
      <w:r w:rsidR="002830C4" w:rsidRPr="00463D23">
        <w:rPr>
          <w:sz w:val="22"/>
        </w:rPr>
        <w:t>investigation</w:t>
      </w:r>
      <w:r w:rsidR="00BB257C" w:rsidRPr="00463D23">
        <w:rPr>
          <w:sz w:val="22"/>
        </w:rPr>
        <w:t>.</w:t>
      </w:r>
    </w:p>
    <w:p w14:paraId="7E254F43" w14:textId="642609D1" w:rsidR="00AF73C8" w:rsidRPr="00D451C4" w:rsidRDefault="00AF73C8" w:rsidP="00BD78F3">
      <w:pPr>
        <w:pStyle w:val="DPCbody"/>
        <w:rPr>
          <w:sz w:val="22"/>
        </w:rPr>
      </w:pPr>
      <w:r w:rsidRPr="00D451C4">
        <w:rPr>
          <w:sz w:val="22"/>
        </w:rPr>
        <w:br w:type="page"/>
      </w:r>
    </w:p>
    <w:p w14:paraId="3B828032" w14:textId="225383CC" w:rsidR="00FF2E0B" w:rsidRDefault="00FF2E0B" w:rsidP="00A2381E">
      <w:pPr>
        <w:pStyle w:val="Heading2"/>
        <w:rPr>
          <w:color w:val="0072CE"/>
        </w:rPr>
      </w:pPr>
      <w:r>
        <w:rPr>
          <w:noProof/>
          <w:lang w:eastAsia="en-AU"/>
        </w:rPr>
        <w:lastRenderedPageBreak/>
        <mc:AlternateContent>
          <mc:Choice Requires="wps">
            <w:drawing>
              <wp:anchor distT="0" distB="0" distL="114300" distR="114300" simplePos="0" relativeHeight="251658240" behindDoc="0" locked="0" layoutInCell="1" allowOverlap="1" wp14:anchorId="4033024C" wp14:editId="440A600D">
                <wp:simplePos x="0" y="0"/>
                <wp:positionH relativeFrom="column">
                  <wp:posOffset>-148590</wp:posOffset>
                </wp:positionH>
                <wp:positionV relativeFrom="paragraph">
                  <wp:posOffset>33020</wp:posOffset>
                </wp:positionV>
                <wp:extent cx="6852355" cy="3143250"/>
                <wp:effectExtent l="0" t="0" r="5715" b="0"/>
                <wp:wrapNone/>
                <wp:docPr id="3" name="Text Box 3"/>
                <wp:cNvGraphicFramePr/>
                <a:graphic xmlns:a="http://schemas.openxmlformats.org/drawingml/2006/main">
                  <a:graphicData uri="http://schemas.microsoft.com/office/word/2010/wordprocessingShape">
                    <wps:wsp>
                      <wps:cNvSpPr txBox="1"/>
                      <wps:spPr>
                        <a:xfrm>
                          <a:off x="0" y="0"/>
                          <a:ext cx="6852355" cy="3143250"/>
                        </a:xfrm>
                        <a:prstGeom prst="rect">
                          <a:avLst/>
                        </a:prstGeom>
                        <a:solidFill>
                          <a:srgbClr val="CCECFF">
                            <a:alpha val="58824"/>
                          </a:srgb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5F77B82" w14:textId="77777777" w:rsidR="00772EE1" w:rsidRPr="00A2381E" w:rsidRDefault="00772EE1" w:rsidP="00772EE1">
                            <w:pPr>
                              <w:pStyle w:val="Heading3"/>
                              <w:spacing w:before="0"/>
                              <w:rPr>
                                <w:sz w:val="28"/>
                                <w:szCs w:val="28"/>
                              </w:rPr>
                            </w:pPr>
                            <w:r w:rsidRPr="00A2381E">
                              <w:rPr>
                                <w:sz w:val="28"/>
                                <w:szCs w:val="28"/>
                              </w:rPr>
                              <w:t>When is subsurface testing not appropriate?</w:t>
                            </w:r>
                          </w:p>
                          <w:p w14:paraId="5249DD07" w14:textId="77777777" w:rsidR="00772EE1" w:rsidRPr="00A2381E" w:rsidRDefault="00772EE1" w:rsidP="00772EE1">
                            <w:pPr>
                              <w:pStyle w:val="DPCbody"/>
                              <w:rPr>
                                <w:sz w:val="22"/>
                              </w:rPr>
                            </w:pPr>
                            <w:r w:rsidRPr="00A2381E">
                              <w:rPr>
                                <w:sz w:val="22"/>
                              </w:rPr>
                              <w:t xml:space="preserve">The disturbance or excavation of land to uncover or discover Aboriginal cultural heritage is destructive and it is important that it is only carried out when necessary to identify and document the extent, nature and significance of Aboriginal cultural heritage that is threatened by the proposed activity. </w:t>
                            </w:r>
                          </w:p>
                          <w:p w14:paraId="76B13539" w14:textId="77777777" w:rsidR="00772EE1" w:rsidRPr="00A2381E" w:rsidRDefault="00772EE1" w:rsidP="00772EE1">
                            <w:pPr>
                              <w:pStyle w:val="DPCbody"/>
                              <w:rPr>
                                <w:sz w:val="22"/>
                              </w:rPr>
                            </w:pPr>
                            <w:r w:rsidRPr="00A2381E">
                              <w:rPr>
                                <w:sz w:val="22"/>
                              </w:rPr>
                              <w:t>Subsurface testing should not be carried out in areas where it is not proposed the activity will cause any harm.</w:t>
                            </w:r>
                          </w:p>
                          <w:p w14:paraId="0753CA31" w14:textId="77777777" w:rsidR="00772EE1" w:rsidRPr="00A2381E" w:rsidRDefault="00772EE1" w:rsidP="00772EE1">
                            <w:pPr>
                              <w:pStyle w:val="DPCbody"/>
                              <w:rPr>
                                <w:sz w:val="22"/>
                              </w:rPr>
                            </w:pPr>
                            <w:r w:rsidRPr="00A2381E">
                              <w:rPr>
                                <w:sz w:val="22"/>
                              </w:rPr>
                              <w:t>Subsurface testing should be avoided if it causes more harm than the proposed activity.</w:t>
                            </w:r>
                          </w:p>
                          <w:p w14:paraId="34805E4B" w14:textId="77777777" w:rsidR="00772EE1" w:rsidRDefault="00772EE1" w:rsidP="00A2381E">
                            <w:pPr>
                              <w:pStyle w:val="DPCbody"/>
                              <w:rPr>
                                <w:sz w:val="22"/>
                              </w:rPr>
                            </w:pPr>
                            <w:r w:rsidRPr="00A2381E">
                              <w:rPr>
                                <w:sz w:val="22"/>
                              </w:rPr>
                              <w:t>Test excavations should not be designed as salvage operations, nor should they be undertaken in areas that will not be affected by the proposed activity.</w:t>
                            </w:r>
                          </w:p>
                          <w:p w14:paraId="2E37F484" w14:textId="2FBE8A1A" w:rsidR="00045700" w:rsidRPr="001342D1" w:rsidRDefault="00045700" w:rsidP="00A2381E">
                            <w:pPr>
                              <w:pStyle w:val="DPCbody"/>
                              <w:rPr>
                                <w:sz w:val="22"/>
                              </w:rPr>
                            </w:pPr>
                            <w:r w:rsidRPr="001342D1">
                              <w:rPr>
                                <w:sz w:val="22"/>
                              </w:rPr>
                              <w:t xml:space="preserve">A complex assessment is usually not required if only </w:t>
                            </w:r>
                            <w:proofErr w:type="gramStart"/>
                            <w:r w:rsidRPr="001342D1">
                              <w:rPr>
                                <w:sz w:val="22"/>
                              </w:rPr>
                              <w:t>low density</w:t>
                            </w:r>
                            <w:proofErr w:type="gramEnd"/>
                            <w:r w:rsidRPr="001342D1">
                              <w:rPr>
                                <w:sz w:val="22"/>
                              </w:rPr>
                              <w:t xml:space="preserve"> artefact scatters or diffuse co</w:t>
                            </w:r>
                            <w:r w:rsidR="00D57467" w:rsidRPr="001342D1">
                              <w:rPr>
                                <w:sz w:val="22"/>
                              </w:rPr>
                              <w:t>a</w:t>
                            </w:r>
                            <w:r w:rsidRPr="001342D1">
                              <w:rPr>
                                <w:sz w:val="22"/>
                              </w:rPr>
                              <w:t>stal shell scatters are located by the desktop or standard assessments. It is already known that a low density of stone artefacts extends across much of Victoria including below the surface, and these can generally be appropriately managed through conditions and contingencies.</w:t>
                            </w:r>
                          </w:p>
                          <w:p w14:paraId="3DA3EB78" w14:textId="77777777" w:rsidR="00045700" w:rsidRDefault="00045700" w:rsidP="00A2381E">
                            <w:pPr>
                              <w:pStyle w:val="DPCbody"/>
                              <w:rPr>
                                <w:sz w:val="22"/>
                              </w:rPr>
                            </w:pPr>
                          </w:p>
                          <w:p w14:paraId="0010898D" w14:textId="77777777" w:rsidR="00045700" w:rsidRPr="00A2381E" w:rsidRDefault="00045700" w:rsidP="00A2381E">
                            <w:pPr>
                              <w:pStyle w:val="DPCbody"/>
                              <w:rPr>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33024C" id="_x0000_t202" coordsize="21600,21600" o:spt="202" path="m,l,21600r21600,l21600,xe">
                <v:stroke joinstyle="miter"/>
                <v:path gradientshapeok="t" o:connecttype="rect"/>
              </v:shapetype>
              <v:shape id="Text Box 3" o:spid="_x0000_s1026" type="#_x0000_t202" style="position:absolute;margin-left:-11.7pt;margin-top:2.6pt;width:539.55pt;height: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F2TjwIAAIgFAAAOAAAAZHJzL2Uyb0RvYy54bWysVEtv2zAMvg/YfxB0X5xnlwV1iixdhgFB&#10;W6wdelZkKRYmi5qkxE5//SjZeaDbpcMuMiW+Pn4meX3TVJrshfMKTE4HvT4lwnAolNnm9MfT6sOU&#10;Eh+YKZgGI3J6EJ7ezN+/u67tTAyhBF0IRzCI8bPa5rQMwc6yzPNSVMz3wAqDSgmuYgGvbpsVjtUY&#10;vdLZsN+/ympwhXXAhff4etsq6TzFl1LwcC+lF4HonCK2kE6Xzk08s/k1m20ds6XiHQz2Dygqpgwm&#10;PYW6ZYGRnVN/hKoUd+BBhh6HKgMpFRepBqxm0H9VzWPJrEi1IDnenmjy/y8sv9s/2gdHQvMZGvyB&#10;kZDa+pnHx1hPI10Vv4iUoB4pPJxoE00gHB+vppPhaDKhhKNuNBiPhpNEbHZ2t86HrwIqEoWcOvwv&#10;iS62X/uAKdH0aBKzedCqWCmt08VtN0vtyJ7hP1wuvyxXq9ZX25K1r5PpdDiO0DGOb81b+TKONqRG&#10;sCMEF8MaiAlaH23ii0j90gE6k5CkcNAi2mjzXUiiisRFQhc7VZzwMc6FCYlGxJKso5XEVG9x7OzP&#10;qN7i3NaBHikzmHByrpQBl6pPA3aGXfw8QpatPdJ3UXcUQ7NpuubYQHHAnnHQjpO3fKXwv66ZDw/M&#10;4fxgm+BOCPd4SA3IOnQSJSW4l7+9R3tsa9RSUuM85tT/2jEnKNHfDDb8p8F4HAc4XcaTj0O8uEvN&#10;5lJjdtUSsF0GuH0sT2K0D/ooSgfVM66ORcyKKmY45s5pOIrL0G4JXD1cLBbJCEfWsrA2j5bH0JHe&#10;2LVPzTNztmvtgFNxB8fJZbNXHd7aRk8Di10AqVL7R4JbVjvicdxTB3erKe6Ty3uyOi/Q+W8AAAD/&#10;/wMAUEsDBBQABgAIAAAAIQCT4S6o3wAAAAoBAAAPAAAAZHJzL2Rvd25yZXYueG1sTI/BTsMwEETv&#10;SPyDtUjcWpukaVEapwIkxAUhUSpxdeNtEmGvo9hpTb8e90SPszOaeVttojXsiKPvHUl4mAtgSI3T&#10;PbUSdl+vs0dgPijSyjhCCb/oYVPf3lSq1O5En3jchpalEvKlktCFMJSc+6ZDq/zcDUjJO7jRqpDk&#10;2HI9qlMqt4ZnQiy5VT2lhU4N+NJh87OdrIR+l79FPIvv87P5WOTTu17GlZby/i4+rYEFjOE/DBf8&#10;hA51Ytq7ibRnRsIsyxcpKqHIgF18URQrYPt0ECIDXlf8+oX6DwAA//8DAFBLAQItABQABgAIAAAA&#10;IQC2gziS/gAAAOEBAAATAAAAAAAAAAAAAAAAAAAAAABbQ29udGVudF9UeXBlc10ueG1sUEsBAi0A&#10;FAAGAAgAAAAhADj9If/WAAAAlAEAAAsAAAAAAAAAAAAAAAAALwEAAF9yZWxzLy5yZWxzUEsBAi0A&#10;FAAGAAgAAAAhAB0oXZOPAgAAiAUAAA4AAAAAAAAAAAAAAAAALgIAAGRycy9lMm9Eb2MueG1sUEsB&#10;Ai0AFAAGAAgAAAAhAJPhLqjfAAAACgEAAA8AAAAAAAAAAAAAAAAA6QQAAGRycy9kb3ducmV2Lnht&#10;bFBLBQYAAAAABAAEAPMAAAD1BQAAAAA=&#10;" fillcolor="#ccecff" stroked="f" strokeweight=".5pt">
                <v:fill opacity="38550f"/>
                <v:textbox>
                  <w:txbxContent>
                    <w:p w14:paraId="15F77B82" w14:textId="77777777" w:rsidR="00772EE1" w:rsidRPr="00A2381E" w:rsidRDefault="00772EE1" w:rsidP="00772EE1">
                      <w:pPr>
                        <w:pStyle w:val="Heading3"/>
                        <w:spacing w:before="0"/>
                        <w:rPr>
                          <w:sz w:val="28"/>
                          <w:szCs w:val="28"/>
                        </w:rPr>
                      </w:pPr>
                      <w:r w:rsidRPr="00A2381E">
                        <w:rPr>
                          <w:sz w:val="28"/>
                          <w:szCs w:val="28"/>
                        </w:rPr>
                        <w:t>When is subsurface testing not appropriate?</w:t>
                      </w:r>
                    </w:p>
                    <w:p w14:paraId="5249DD07" w14:textId="77777777" w:rsidR="00772EE1" w:rsidRPr="00A2381E" w:rsidRDefault="00772EE1" w:rsidP="00772EE1">
                      <w:pPr>
                        <w:pStyle w:val="DPCbody"/>
                        <w:rPr>
                          <w:sz w:val="22"/>
                        </w:rPr>
                      </w:pPr>
                      <w:r w:rsidRPr="00A2381E">
                        <w:rPr>
                          <w:sz w:val="22"/>
                        </w:rPr>
                        <w:t xml:space="preserve">The disturbance or excavation of land to uncover or discover Aboriginal cultural heritage is destructive and it is important that it is only carried out when necessary to identify and document the extent, nature and significance of Aboriginal cultural heritage that is threatened by the proposed activity. </w:t>
                      </w:r>
                    </w:p>
                    <w:p w14:paraId="76B13539" w14:textId="77777777" w:rsidR="00772EE1" w:rsidRPr="00A2381E" w:rsidRDefault="00772EE1" w:rsidP="00772EE1">
                      <w:pPr>
                        <w:pStyle w:val="DPCbody"/>
                        <w:rPr>
                          <w:sz w:val="22"/>
                        </w:rPr>
                      </w:pPr>
                      <w:r w:rsidRPr="00A2381E">
                        <w:rPr>
                          <w:sz w:val="22"/>
                        </w:rPr>
                        <w:t>Subsurface testing should not be carried out in areas where it is not proposed the activity will cause any harm.</w:t>
                      </w:r>
                    </w:p>
                    <w:p w14:paraId="0753CA31" w14:textId="77777777" w:rsidR="00772EE1" w:rsidRPr="00A2381E" w:rsidRDefault="00772EE1" w:rsidP="00772EE1">
                      <w:pPr>
                        <w:pStyle w:val="DPCbody"/>
                        <w:rPr>
                          <w:sz w:val="22"/>
                        </w:rPr>
                      </w:pPr>
                      <w:r w:rsidRPr="00A2381E">
                        <w:rPr>
                          <w:sz w:val="22"/>
                        </w:rPr>
                        <w:t>Subsurface testing should be avoided if it causes more harm than the proposed activity.</w:t>
                      </w:r>
                    </w:p>
                    <w:p w14:paraId="34805E4B" w14:textId="77777777" w:rsidR="00772EE1" w:rsidRDefault="00772EE1" w:rsidP="00A2381E">
                      <w:pPr>
                        <w:pStyle w:val="DPCbody"/>
                        <w:rPr>
                          <w:sz w:val="22"/>
                        </w:rPr>
                      </w:pPr>
                      <w:r w:rsidRPr="00A2381E">
                        <w:rPr>
                          <w:sz w:val="22"/>
                        </w:rPr>
                        <w:t>Test excavations should not be designed as salvage operations, nor should they be undertaken in areas that will not be affected by the proposed activity.</w:t>
                      </w:r>
                    </w:p>
                    <w:p w14:paraId="2E37F484" w14:textId="2FBE8A1A" w:rsidR="00045700" w:rsidRPr="001342D1" w:rsidRDefault="00045700" w:rsidP="00A2381E">
                      <w:pPr>
                        <w:pStyle w:val="DPCbody"/>
                        <w:rPr>
                          <w:sz w:val="22"/>
                        </w:rPr>
                      </w:pPr>
                      <w:r w:rsidRPr="001342D1">
                        <w:rPr>
                          <w:sz w:val="22"/>
                        </w:rPr>
                        <w:t xml:space="preserve">A complex assessment is usually not required if only </w:t>
                      </w:r>
                      <w:proofErr w:type="gramStart"/>
                      <w:r w:rsidRPr="001342D1">
                        <w:rPr>
                          <w:sz w:val="22"/>
                        </w:rPr>
                        <w:t>low density</w:t>
                      </w:r>
                      <w:proofErr w:type="gramEnd"/>
                      <w:r w:rsidRPr="001342D1">
                        <w:rPr>
                          <w:sz w:val="22"/>
                        </w:rPr>
                        <w:t xml:space="preserve"> artefact scatters or diffuse co</w:t>
                      </w:r>
                      <w:r w:rsidR="00D57467" w:rsidRPr="001342D1">
                        <w:rPr>
                          <w:sz w:val="22"/>
                        </w:rPr>
                        <w:t>a</w:t>
                      </w:r>
                      <w:r w:rsidRPr="001342D1">
                        <w:rPr>
                          <w:sz w:val="22"/>
                        </w:rPr>
                        <w:t>stal shell scatters are located by the desktop or standard assessments. It is already known that a low density of stone artefacts extends across much of Victoria including below the surface, and these can generally be appropriately managed through conditions and contingencies.</w:t>
                      </w:r>
                    </w:p>
                    <w:p w14:paraId="3DA3EB78" w14:textId="77777777" w:rsidR="00045700" w:rsidRDefault="00045700" w:rsidP="00A2381E">
                      <w:pPr>
                        <w:pStyle w:val="DPCbody"/>
                        <w:rPr>
                          <w:sz w:val="22"/>
                        </w:rPr>
                      </w:pPr>
                    </w:p>
                    <w:p w14:paraId="0010898D" w14:textId="77777777" w:rsidR="00045700" w:rsidRPr="00A2381E" w:rsidRDefault="00045700" w:rsidP="00A2381E">
                      <w:pPr>
                        <w:pStyle w:val="DPCbody"/>
                        <w:rPr>
                          <w:sz w:val="22"/>
                        </w:rPr>
                      </w:pPr>
                    </w:p>
                  </w:txbxContent>
                </v:textbox>
              </v:shape>
            </w:pict>
          </mc:Fallback>
        </mc:AlternateContent>
      </w:r>
    </w:p>
    <w:p w14:paraId="59B20CA4" w14:textId="63510E36" w:rsidR="00FF2E0B" w:rsidRDefault="00FF2E0B" w:rsidP="00A2381E">
      <w:pPr>
        <w:pStyle w:val="Heading2"/>
        <w:rPr>
          <w:color w:val="0072CE"/>
        </w:rPr>
      </w:pPr>
    </w:p>
    <w:p w14:paraId="320FB416" w14:textId="77777777" w:rsidR="00FF2E0B" w:rsidRDefault="00FF2E0B" w:rsidP="00A2381E">
      <w:pPr>
        <w:pStyle w:val="Heading2"/>
        <w:rPr>
          <w:color w:val="0072CE"/>
        </w:rPr>
      </w:pPr>
    </w:p>
    <w:p w14:paraId="352E1818" w14:textId="77777777" w:rsidR="00FF2E0B" w:rsidRDefault="00FF2E0B" w:rsidP="00A2381E">
      <w:pPr>
        <w:pStyle w:val="Heading2"/>
        <w:rPr>
          <w:color w:val="0072CE"/>
        </w:rPr>
      </w:pPr>
    </w:p>
    <w:p w14:paraId="44E9223E" w14:textId="77777777" w:rsidR="00FF2E0B" w:rsidRDefault="00FF2E0B" w:rsidP="00A2381E">
      <w:pPr>
        <w:pStyle w:val="Heading2"/>
        <w:rPr>
          <w:color w:val="0072CE"/>
        </w:rPr>
      </w:pPr>
    </w:p>
    <w:p w14:paraId="1B31E47B" w14:textId="77777777" w:rsidR="00FF2E0B" w:rsidRDefault="00FF2E0B" w:rsidP="00A2381E">
      <w:pPr>
        <w:pStyle w:val="Heading2"/>
        <w:rPr>
          <w:color w:val="0072CE"/>
        </w:rPr>
      </w:pPr>
    </w:p>
    <w:p w14:paraId="4C71F279" w14:textId="77777777" w:rsidR="00FF2E0B" w:rsidRDefault="00FF2E0B" w:rsidP="00A2381E">
      <w:pPr>
        <w:pStyle w:val="Heading2"/>
        <w:rPr>
          <w:color w:val="0072CE"/>
        </w:rPr>
      </w:pPr>
    </w:p>
    <w:p w14:paraId="5050E4B2" w14:textId="77777777" w:rsidR="00FF2E0B" w:rsidRDefault="00FF2E0B" w:rsidP="00A2381E">
      <w:pPr>
        <w:pStyle w:val="Heading2"/>
        <w:rPr>
          <w:color w:val="0072CE"/>
        </w:rPr>
      </w:pPr>
    </w:p>
    <w:p w14:paraId="785EBB4B" w14:textId="3906AE13" w:rsidR="004F229A" w:rsidRPr="00A2381E" w:rsidRDefault="004F229A" w:rsidP="00A2381E">
      <w:pPr>
        <w:pStyle w:val="Heading2"/>
        <w:rPr>
          <w:color w:val="0072CE"/>
        </w:rPr>
      </w:pPr>
      <w:r w:rsidRPr="00A2381E">
        <w:rPr>
          <w:color w:val="0072CE"/>
        </w:rPr>
        <w:t>Who must supervise subsurface testing?</w:t>
      </w:r>
    </w:p>
    <w:p w14:paraId="70890AD1" w14:textId="03D2D465" w:rsidR="00D44BE5" w:rsidRPr="00A2381E" w:rsidRDefault="00D44BE5" w:rsidP="00D44BE5">
      <w:pPr>
        <w:pStyle w:val="DPCbody"/>
        <w:rPr>
          <w:sz w:val="22"/>
        </w:rPr>
      </w:pPr>
      <w:r w:rsidRPr="00A2381E">
        <w:rPr>
          <w:sz w:val="22"/>
        </w:rPr>
        <w:t>In accordance with Regulation 6</w:t>
      </w:r>
      <w:r>
        <w:rPr>
          <w:sz w:val="22"/>
        </w:rPr>
        <w:t>5</w:t>
      </w:r>
      <w:r w:rsidRPr="00A2381E">
        <w:rPr>
          <w:sz w:val="22"/>
        </w:rPr>
        <w:t xml:space="preserve">(3), a complex assessment must be supervised by a person </w:t>
      </w:r>
      <w:r>
        <w:rPr>
          <w:sz w:val="22"/>
        </w:rPr>
        <w:t>“</w:t>
      </w:r>
      <w:r w:rsidRPr="00A2381E">
        <w:rPr>
          <w:sz w:val="22"/>
        </w:rPr>
        <w:t xml:space="preserve">appropriately qualified in </w:t>
      </w:r>
      <w:r w:rsidRPr="001342D1">
        <w:rPr>
          <w:sz w:val="22"/>
        </w:rPr>
        <w:t xml:space="preserve">archaeology” and it “must be carried out in accordance with proper archaeological practice”. The Updated Open Letter on Supervision of Complex Assessments sets out what is meant by “appropriately qualified in archaeology” – see link: </w:t>
      </w:r>
      <w:hyperlink r:id="rId21" w:history="1">
        <w:r w:rsidRPr="001342D1">
          <w:rPr>
            <w:rStyle w:val="Hyperlink"/>
            <w:color w:val="000000" w:themeColor="text1"/>
            <w:sz w:val="22"/>
          </w:rPr>
          <w:t>Cultural Heritage Management Plan resources for Heritage Advisors | firstpeoplesrelations.vic.gov.au</w:t>
        </w:r>
      </w:hyperlink>
      <w:r w:rsidRPr="001342D1">
        <w:rPr>
          <w:sz w:val="22"/>
        </w:rPr>
        <w:t xml:space="preserve">  </w:t>
      </w:r>
    </w:p>
    <w:p w14:paraId="7F9E753C" w14:textId="77777777" w:rsidR="004F229A" w:rsidRPr="00A2381E" w:rsidRDefault="004C0B5A" w:rsidP="00AF73C8">
      <w:pPr>
        <w:pStyle w:val="Heading2"/>
        <w:rPr>
          <w:color w:val="0072CE"/>
        </w:rPr>
      </w:pPr>
      <w:r w:rsidRPr="00A2381E">
        <w:rPr>
          <w:color w:val="0072CE"/>
        </w:rPr>
        <w:t>C</w:t>
      </w:r>
      <w:r w:rsidR="004F229A" w:rsidRPr="00A2381E">
        <w:rPr>
          <w:color w:val="0072CE"/>
        </w:rPr>
        <w:t>onsider</w:t>
      </w:r>
      <w:r w:rsidRPr="00A2381E">
        <w:rPr>
          <w:color w:val="0072CE"/>
        </w:rPr>
        <w:t>ations</w:t>
      </w:r>
      <w:r w:rsidR="004F229A" w:rsidRPr="00A2381E">
        <w:rPr>
          <w:color w:val="0072CE"/>
        </w:rPr>
        <w:t xml:space="preserve"> when developing a subsurface testing strategy and methodology</w:t>
      </w:r>
    </w:p>
    <w:p w14:paraId="7D046AFD" w14:textId="77777777" w:rsidR="004F229A" w:rsidRPr="00A2381E" w:rsidRDefault="004F229A" w:rsidP="004F229A">
      <w:pPr>
        <w:pStyle w:val="DPCbody"/>
        <w:rPr>
          <w:sz w:val="22"/>
        </w:rPr>
      </w:pPr>
      <w:r w:rsidRPr="00A2381E">
        <w:rPr>
          <w:sz w:val="22"/>
        </w:rPr>
        <w:t xml:space="preserve">Subsurface testing is used to find out what is below the surface of the ground, within the area likely to be impacted by the proposed activity. It should provide enough information to make reasonable predictions about the presence of Aboriginal cultural heritage across the activity area, and assist in determining the nature, extent and significance of any Aboriginal cultural heritage that may be impacted by the activity. </w:t>
      </w:r>
      <w:proofErr w:type="gramStart"/>
      <w:r w:rsidRPr="00A2381E">
        <w:rPr>
          <w:sz w:val="22"/>
        </w:rPr>
        <w:t>Therefore</w:t>
      </w:r>
      <w:proofErr w:type="gramEnd"/>
      <w:r w:rsidRPr="00A2381E">
        <w:rPr>
          <w:sz w:val="22"/>
        </w:rPr>
        <w:t xml:space="preserve"> careful thought should go into developing a subsurface testing strategy and identifying the appropriate methodology to achieve the most effective results. </w:t>
      </w:r>
    </w:p>
    <w:p w14:paraId="2D897734" w14:textId="77777777" w:rsidR="004F229A" w:rsidRPr="00A2381E" w:rsidRDefault="004F229A" w:rsidP="004F229A">
      <w:pPr>
        <w:pStyle w:val="DPCbody"/>
        <w:rPr>
          <w:sz w:val="22"/>
        </w:rPr>
      </w:pPr>
      <w:r w:rsidRPr="00A2381E">
        <w:rPr>
          <w:sz w:val="22"/>
        </w:rPr>
        <w:t xml:space="preserve">Developing a subsurface testing strategy includes formulating some initial predictions or questions about potential cultural landscapes that may contain Aboriginal cultural heritage material in the affected area. Relevant information should </w:t>
      </w:r>
      <w:r w:rsidR="00610933" w:rsidRPr="00A2381E">
        <w:rPr>
          <w:sz w:val="22"/>
        </w:rPr>
        <w:t>incorporate</w:t>
      </w:r>
      <w:r w:rsidRPr="00A2381E">
        <w:rPr>
          <w:sz w:val="22"/>
        </w:rPr>
        <w:t xml:space="preserve"> information obtained through the desktop assessment, </w:t>
      </w:r>
      <w:r w:rsidR="00610933" w:rsidRPr="00A2381E">
        <w:rPr>
          <w:sz w:val="22"/>
        </w:rPr>
        <w:t>including</w:t>
      </w:r>
      <w:r w:rsidRPr="00A2381E">
        <w:rPr>
          <w:sz w:val="22"/>
        </w:rPr>
        <w:t xml:space="preserve">: </w:t>
      </w:r>
    </w:p>
    <w:p w14:paraId="0DAED325" w14:textId="77777777" w:rsidR="004F229A" w:rsidRPr="00A2381E" w:rsidRDefault="004F229A" w:rsidP="003B2114">
      <w:pPr>
        <w:pStyle w:val="DPCbullet1"/>
        <w:numPr>
          <w:ilvl w:val="0"/>
          <w:numId w:val="7"/>
        </w:numPr>
        <w:rPr>
          <w:color w:val="auto"/>
          <w:sz w:val="22"/>
        </w:rPr>
      </w:pPr>
      <w:r w:rsidRPr="00A2381E">
        <w:rPr>
          <w:color w:val="auto"/>
          <w:sz w:val="22"/>
        </w:rPr>
        <w:t>knowledge about the Aboriginal cultural heritage and history of the area, particularly f</w:t>
      </w:r>
      <w:r w:rsidR="00610933" w:rsidRPr="00A2381E">
        <w:rPr>
          <w:color w:val="auto"/>
          <w:sz w:val="22"/>
        </w:rPr>
        <w:t>rom relevant Traditional Owners; and</w:t>
      </w:r>
    </w:p>
    <w:p w14:paraId="06E6F056" w14:textId="77777777" w:rsidR="004F229A" w:rsidRPr="00A2381E" w:rsidRDefault="004F229A" w:rsidP="003B2114">
      <w:pPr>
        <w:pStyle w:val="DPCbullet1"/>
        <w:numPr>
          <w:ilvl w:val="0"/>
          <w:numId w:val="7"/>
        </w:numPr>
        <w:rPr>
          <w:color w:val="auto"/>
          <w:sz w:val="22"/>
        </w:rPr>
      </w:pPr>
      <w:r w:rsidRPr="00A2381E">
        <w:rPr>
          <w:color w:val="auto"/>
          <w:sz w:val="22"/>
        </w:rPr>
        <w:t xml:space="preserve">information about the area’s landforms, geomorphology, </w:t>
      </w:r>
      <w:proofErr w:type="spellStart"/>
      <w:r w:rsidRPr="00A2381E">
        <w:rPr>
          <w:color w:val="auto"/>
          <w:sz w:val="22"/>
        </w:rPr>
        <w:t>palaeo</w:t>
      </w:r>
      <w:proofErr w:type="spellEnd"/>
      <w:r w:rsidRPr="00A2381E">
        <w:rPr>
          <w:color w:val="auto"/>
          <w:sz w:val="22"/>
        </w:rPr>
        <w:t xml:space="preserve">-environmental and prior land-use history. </w:t>
      </w:r>
    </w:p>
    <w:p w14:paraId="649EC811" w14:textId="77777777" w:rsidR="004F229A" w:rsidRPr="00A2381E" w:rsidRDefault="004F229A" w:rsidP="004F229A">
      <w:pPr>
        <w:pStyle w:val="DPCbody"/>
        <w:rPr>
          <w:sz w:val="22"/>
        </w:rPr>
      </w:pPr>
      <w:r w:rsidRPr="00A2381E">
        <w:rPr>
          <w:sz w:val="22"/>
        </w:rPr>
        <w:lastRenderedPageBreak/>
        <w:t xml:space="preserve">A ground surface survey or standard assessment should generally be carried out to refine the predictions or questions derived from the desktop assessment. This information helps to set up parameters </w:t>
      </w:r>
      <w:r w:rsidR="0016656A" w:rsidRPr="00A2381E">
        <w:rPr>
          <w:sz w:val="22"/>
        </w:rPr>
        <w:t>for</w:t>
      </w:r>
      <w:r w:rsidRPr="00A2381E">
        <w:rPr>
          <w:sz w:val="22"/>
        </w:rPr>
        <w:t xml:space="preserve"> where and how to sample the proposed activity area(s).</w:t>
      </w:r>
    </w:p>
    <w:p w14:paraId="3A6E1030" w14:textId="77777777" w:rsidR="004F229A" w:rsidRPr="00A2381E" w:rsidRDefault="004F229A" w:rsidP="004F229A">
      <w:pPr>
        <w:pStyle w:val="DPCbody"/>
        <w:rPr>
          <w:sz w:val="22"/>
        </w:rPr>
      </w:pPr>
      <w:r w:rsidRPr="00A2381E">
        <w:rPr>
          <w:sz w:val="22"/>
        </w:rPr>
        <w:t xml:space="preserve">In developing a subsurface sampling strategy and methodology it is also useful to consider what type of information subsurface testing may uncover, and how this may </w:t>
      </w:r>
      <w:r w:rsidR="0016656A" w:rsidRPr="00A2381E">
        <w:rPr>
          <w:sz w:val="22"/>
        </w:rPr>
        <w:t>guide the preparation of the CHMP</w:t>
      </w:r>
      <w:r w:rsidRPr="00A2381E">
        <w:rPr>
          <w:sz w:val="22"/>
        </w:rPr>
        <w:t xml:space="preserve">. Subsurface testing may assist in </w:t>
      </w:r>
      <w:r w:rsidR="0016656A" w:rsidRPr="00A2381E">
        <w:rPr>
          <w:sz w:val="22"/>
        </w:rPr>
        <w:t>determining</w:t>
      </w:r>
      <w:r w:rsidRPr="00A2381E">
        <w:rPr>
          <w:sz w:val="22"/>
        </w:rPr>
        <w:t>:</w:t>
      </w:r>
    </w:p>
    <w:p w14:paraId="2B6FDD60" w14:textId="77777777" w:rsidR="004F229A" w:rsidRPr="00A2381E" w:rsidRDefault="004F229A" w:rsidP="003B2114">
      <w:pPr>
        <w:pStyle w:val="DPCbullet1"/>
        <w:numPr>
          <w:ilvl w:val="0"/>
          <w:numId w:val="7"/>
        </w:numPr>
        <w:rPr>
          <w:color w:val="auto"/>
          <w:sz w:val="22"/>
        </w:rPr>
      </w:pPr>
      <w:r w:rsidRPr="00A2381E">
        <w:rPr>
          <w:color w:val="auto"/>
          <w:sz w:val="22"/>
        </w:rPr>
        <w:t>the archaeological potential</w:t>
      </w:r>
      <w:r w:rsidR="0056575B" w:rsidRPr="00A2381E">
        <w:rPr>
          <w:color w:val="auto"/>
          <w:sz w:val="22"/>
        </w:rPr>
        <w:t xml:space="preserve"> of the area;</w:t>
      </w:r>
      <w:r w:rsidRPr="00A2381E">
        <w:rPr>
          <w:color w:val="auto"/>
          <w:sz w:val="22"/>
        </w:rPr>
        <w:t xml:space="preserve"> by interpreting the geomorphology and strati</w:t>
      </w:r>
      <w:r w:rsidR="0016656A" w:rsidRPr="00A2381E">
        <w:rPr>
          <w:color w:val="auto"/>
          <w:sz w:val="22"/>
        </w:rPr>
        <w:t>graphy across the activity area;</w:t>
      </w:r>
    </w:p>
    <w:p w14:paraId="7D8C80D7" w14:textId="77777777" w:rsidR="004F229A" w:rsidRPr="00A2381E" w:rsidRDefault="0016656A" w:rsidP="003B2114">
      <w:pPr>
        <w:pStyle w:val="DPCbullet1"/>
        <w:numPr>
          <w:ilvl w:val="0"/>
          <w:numId w:val="7"/>
        </w:numPr>
        <w:rPr>
          <w:color w:val="auto"/>
          <w:sz w:val="22"/>
        </w:rPr>
      </w:pPr>
      <w:r w:rsidRPr="00A2381E">
        <w:rPr>
          <w:color w:val="auto"/>
          <w:sz w:val="22"/>
        </w:rPr>
        <w:t>the location of</w:t>
      </w:r>
      <w:r w:rsidR="004F229A" w:rsidRPr="00A2381E">
        <w:rPr>
          <w:color w:val="auto"/>
          <w:sz w:val="22"/>
        </w:rPr>
        <w:t xml:space="preserve"> cultural deposits, including any in situ</w:t>
      </w:r>
      <w:r w:rsidRPr="00A2381E">
        <w:rPr>
          <w:color w:val="auto"/>
          <w:sz w:val="22"/>
        </w:rPr>
        <w:t xml:space="preserve"> deposits;</w:t>
      </w:r>
    </w:p>
    <w:p w14:paraId="1237B790" w14:textId="77777777" w:rsidR="004F229A" w:rsidRPr="00A2381E" w:rsidRDefault="004F229A" w:rsidP="003B2114">
      <w:pPr>
        <w:pStyle w:val="DPCbullet1"/>
        <w:numPr>
          <w:ilvl w:val="0"/>
          <w:numId w:val="7"/>
        </w:numPr>
        <w:rPr>
          <w:color w:val="auto"/>
          <w:sz w:val="22"/>
        </w:rPr>
      </w:pPr>
      <w:r w:rsidRPr="00A2381E">
        <w:rPr>
          <w:color w:val="auto"/>
          <w:sz w:val="22"/>
        </w:rPr>
        <w:t>the depth of cultural material.</w:t>
      </w:r>
    </w:p>
    <w:p w14:paraId="7E89C1BC" w14:textId="77777777" w:rsidR="004F229A" w:rsidRPr="00A2381E" w:rsidRDefault="004F229A" w:rsidP="003B2114">
      <w:pPr>
        <w:pStyle w:val="DPCbullet1"/>
        <w:numPr>
          <w:ilvl w:val="0"/>
          <w:numId w:val="7"/>
        </w:numPr>
        <w:rPr>
          <w:color w:val="auto"/>
          <w:sz w:val="22"/>
        </w:rPr>
      </w:pPr>
      <w:r w:rsidRPr="00A2381E">
        <w:rPr>
          <w:color w:val="auto"/>
          <w:sz w:val="22"/>
        </w:rPr>
        <w:t>the horizontal extent and thickness of any cultur</w:t>
      </w:r>
      <w:r w:rsidR="0016656A" w:rsidRPr="00A2381E">
        <w:rPr>
          <w:color w:val="auto"/>
          <w:sz w:val="22"/>
        </w:rPr>
        <w:t>al deposits and their condition;</w:t>
      </w:r>
    </w:p>
    <w:p w14:paraId="05DA52DE" w14:textId="77777777" w:rsidR="004F229A" w:rsidRPr="00A2381E" w:rsidRDefault="004F229A" w:rsidP="003B2114">
      <w:pPr>
        <w:pStyle w:val="DPCbullet1"/>
        <w:numPr>
          <w:ilvl w:val="0"/>
          <w:numId w:val="7"/>
        </w:numPr>
        <w:rPr>
          <w:color w:val="auto"/>
          <w:sz w:val="22"/>
        </w:rPr>
      </w:pPr>
      <w:r w:rsidRPr="00A2381E">
        <w:rPr>
          <w:color w:val="auto"/>
          <w:sz w:val="22"/>
        </w:rPr>
        <w:t>the density and type of artefactual material, an</w:t>
      </w:r>
      <w:r w:rsidR="0016656A" w:rsidRPr="00A2381E">
        <w:rPr>
          <w:color w:val="auto"/>
          <w:sz w:val="22"/>
        </w:rPr>
        <w:t>d any variation across the site;</w:t>
      </w:r>
    </w:p>
    <w:p w14:paraId="23A9D502" w14:textId="77777777" w:rsidR="004F229A" w:rsidRPr="00A2381E" w:rsidRDefault="004F229A" w:rsidP="003B2114">
      <w:pPr>
        <w:pStyle w:val="DPCbullet1"/>
        <w:numPr>
          <w:ilvl w:val="0"/>
          <w:numId w:val="7"/>
        </w:numPr>
        <w:rPr>
          <w:color w:val="auto"/>
          <w:sz w:val="22"/>
        </w:rPr>
      </w:pPr>
      <w:r w:rsidRPr="00A2381E">
        <w:rPr>
          <w:color w:val="auto"/>
          <w:sz w:val="22"/>
        </w:rPr>
        <w:t>the age of cultural material</w:t>
      </w:r>
      <w:r w:rsidR="0016656A" w:rsidRPr="00A2381E">
        <w:rPr>
          <w:color w:val="auto"/>
          <w:sz w:val="22"/>
        </w:rPr>
        <w:t>;</w:t>
      </w:r>
      <w:r w:rsidRPr="00A2381E">
        <w:rPr>
          <w:color w:val="auto"/>
          <w:sz w:val="22"/>
        </w:rPr>
        <w:t xml:space="preserve"> either through direct dating methods, determining the age of relevant geological strata or co</w:t>
      </w:r>
      <w:r w:rsidR="0016656A" w:rsidRPr="00A2381E">
        <w:rPr>
          <w:color w:val="auto"/>
          <w:sz w:val="22"/>
        </w:rPr>
        <w:t>mparative typology of artefacts;</w:t>
      </w:r>
    </w:p>
    <w:p w14:paraId="455D76B5" w14:textId="77777777" w:rsidR="004F229A" w:rsidRPr="00A2381E" w:rsidRDefault="004F229A" w:rsidP="003B2114">
      <w:pPr>
        <w:pStyle w:val="DPCbullet1"/>
        <w:numPr>
          <w:ilvl w:val="0"/>
          <w:numId w:val="7"/>
        </w:numPr>
        <w:rPr>
          <w:color w:val="auto"/>
          <w:sz w:val="22"/>
        </w:rPr>
      </w:pPr>
      <w:r w:rsidRPr="00A2381E">
        <w:rPr>
          <w:color w:val="auto"/>
          <w:sz w:val="22"/>
        </w:rPr>
        <w:t>the depth of the base sterile layer or bedrock across the site and how this relates to the depth</w:t>
      </w:r>
      <w:r w:rsidR="0016656A" w:rsidRPr="00A2381E">
        <w:rPr>
          <w:color w:val="auto"/>
          <w:sz w:val="22"/>
        </w:rPr>
        <w:t xml:space="preserve"> of the proposed area of impact; and</w:t>
      </w:r>
    </w:p>
    <w:p w14:paraId="2D9FD473" w14:textId="77777777" w:rsidR="004F229A" w:rsidRPr="00A2381E" w:rsidRDefault="004F229A" w:rsidP="003B2114">
      <w:pPr>
        <w:pStyle w:val="DPCbullet1"/>
        <w:numPr>
          <w:ilvl w:val="0"/>
          <w:numId w:val="7"/>
        </w:numPr>
        <w:rPr>
          <w:color w:val="auto"/>
          <w:sz w:val="22"/>
        </w:rPr>
      </w:pPr>
      <w:r w:rsidRPr="00A2381E">
        <w:rPr>
          <w:color w:val="auto"/>
          <w:sz w:val="22"/>
        </w:rPr>
        <w:t>any previous ground disturbance.</w:t>
      </w:r>
    </w:p>
    <w:p w14:paraId="67A5F952" w14:textId="77777777" w:rsidR="004F229A" w:rsidRPr="00A2381E" w:rsidRDefault="004F229A" w:rsidP="004F229A">
      <w:pPr>
        <w:pStyle w:val="DPCbody"/>
        <w:rPr>
          <w:sz w:val="22"/>
        </w:rPr>
      </w:pPr>
      <w:r w:rsidRPr="00A2381E">
        <w:rPr>
          <w:sz w:val="22"/>
        </w:rPr>
        <w:t xml:space="preserve">Analysis of this information will </w:t>
      </w:r>
      <w:r w:rsidR="0016656A" w:rsidRPr="00A2381E">
        <w:rPr>
          <w:sz w:val="22"/>
        </w:rPr>
        <w:t>help to define and understand</w:t>
      </w:r>
      <w:r w:rsidRPr="00A2381E">
        <w:rPr>
          <w:sz w:val="22"/>
        </w:rPr>
        <w:t xml:space="preserve"> the nature, extent and significance of any subsurface Aboriginal cultural heritage material with reasonable confidence. Along with the results of the ground surface survey, it will enable appropriate heritage protection and mitigation measures to be developed in the </w:t>
      </w:r>
      <w:r w:rsidR="0016656A" w:rsidRPr="00A2381E">
        <w:rPr>
          <w:sz w:val="22"/>
        </w:rPr>
        <w:t>CHMP</w:t>
      </w:r>
      <w:r w:rsidRPr="00A2381E">
        <w:rPr>
          <w:sz w:val="22"/>
        </w:rPr>
        <w:t xml:space="preserve">. </w:t>
      </w:r>
    </w:p>
    <w:p w14:paraId="655AABCF" w14:textId="77777777" w:rsidR="004F229A" w:rsidRPr="00A2381E" w:rsidRDefault="006C1A67" w:rsidP="004F229A">
      <w:pPr>
        <w:pStyle w:val="DPCbody"/>
        <w:rPr>
          <w:sz w:val="22"/>
        </w:rPr>
      </w:pPr>
      <w:r w:rsidRPr="00A2381E">
        <w:rPr>
          <w:sz w:val="22"/>
        </w:rPr>
        <w:t>Regulation 61(3</w:t>
      </w:r>
      <w:r w:rsidR="00191FA1" w:rsidRPr="00A2381E">
        <w:rPr>
          <w:sz w:val="22"/>
        </w:rPr>
        <w:t>) specifies</w:t>
      </w:r>
      <w:r w:rsidR="004F229A" w:rsidRPr="00A2381E">
        <w:rPr>
          <w:sz w:val="22"/>
        </w:rPr>
        <w:t xml:space="preserve"> that subsurface testing must be carried out in accordance with proper archaeological practice. The subsurface testing strategy and methodology should inform the amount and type of subsurface sampling to be conducted as well as outline appropriate subsurface testing methods and techniques. Subsurface testing must be conducted in a safe manner and adhere to relevant safe work practices. It is important to incorporate some flexibility in the strategy, </w:t>
      </w:r>
      <w:proofErr w:type="gramStart"/>
      <w:r w:rsidR="004F229A" w:rsidRPr="00A2381E">
        <w:rPr>
          <w:sz w:val="22"/>
        </w:rPr>
        <w:t>taking into account</w:t>
      </w:r>
      <w:proofErr w:type="gramEnd"/>
      <w:r w:rsidR="004F229A" w:rsidRPr="00A2381E">
        <w:rPr>
          <w:sz w:val="22"/>
        </w:rPr>
        <w:t xml:space="preserve"> the results of subsurface testing as they become available. </w:t>
      </w:r>
    </w:p>
    <w:p w14:paraId="76F014FD" w14:textId="77777777" w:rsidR="001D2E86" w:rsidRPr="001342D1" w:rsidRDefault="001D2E86" w:rsidP="001D2E86">
      <w:pPr>
        <w:pStyle w:val="Heading2"/>
        <w:rPr>
          <w:color w:val="0072CE"/>
        </w:rPr>
      </w:pPr>
      <w:r w:rsidRPr="001342D1">
        <w:rPr>
          <w:color w:val="0072CE"/>
        </w:rPr>
        <w:t>CHMP consultation</w:t>
      </w:r>
    </w:p>
    <w:p w14:paraId="73621AC7" w14:textId="77777777" w:rsidR="001D2E86" w:rsidRPr="001342D1" w:rsidRDefault="001D2E86" w:rsidP="001D2E86">
      <w:pPr>
        <w:pStyle w:val="DPCbody"/>
        <w:rPr>
          <w:sz w:val="22"/>
        </w:rPr>
      </w:pPr>
      <w:r w:rsidRPr="001342D1">
        <w:rPr>
          <w:sz w:val="22"/>
        </w:rPr>
        <w:t xml:space="preserve">When developing a subsurface testing strategy and methodology it is important to consult with the relevant Registered Aboriginal Party (RAP), where one exists and has elected to evaluate the CHMP in accordance with section 60 of the Act, about the proposed methodology. Relevant Traditional Owner groups should be consulted in the absence of a RAP. </w:t>
      </w:r>
    </w:p>
    <w:p w14:paraId="15AA41A7" w14:textId="21165F82" w:rsidR="001D2E86" w:rsidRPr="001342D1" w:rsidRDefault="001D2E86" w:rsidP="001D2E86">
      <w:pPr>
        <w:pStyle w:val="DPCbody"/>
        <w:rPr>
          <w:sz w:val="22"/>
        </w:rPr>
      </w:pPr>
      <w:r w:rsidRPr="001342D1">
        <w:rPr>
          <w:sz w:val="22"/>
        </w:rPr>
        <w:t>If it is determined and agreed a complex assessment is required, the Heritage Advisor (HA) will prepare a plan for undertaking the complex assessment based on the information gathered by the desktop and standard assessments. The HA will discuss the plan for undertaking a complex assessment with the RAP at least once as it is being prepared. The RAP will have the opportunity to influence the plan during its preparation, and the HA will note RAP priorities for excavation and testing locations where they differ from the HA’s.</w:t>
      </w:r>
    </w:p>
    <w:p w14:paraId="3FA552CC" w14:textId="77777777" w:rsidR="001D2E86" w:rsidRPr="001342D1" w:rsidRDefault="001D2E86" w:rsidP="001D2E86">
      <w:pPr>
        <w:pStyle w:val="DPCbody"/>
        <w:rPr>
          <w:sz w:val="22"/>
        </w:rPr>
      </w:pPr>
      <w:r w:rsidRPr="001342D1">
        <w:rPr>
          <w:sz w:val="22"/>
        </w:rPr>
        <w:t xml:space="preserve">The plan for undertaking a complex assessment will detail an excavation strategy and detailed justification for this excavation strategy. The plan should always include provisions for changes to be made and agreed as the assessment progresses, where conditions and circumstances warrant.  </w:t>
      </w:r>
    </w:p>
    <w:p w14:paraId="44663F9D" w14:textId="77777777" w:rsidR="001D2E86" w:rsidRPr="001342D1" w:rsidRDefault="001D2E86" w:rsidP="001D2E86">
      <w:pPr>
        <w:pStyle w:val="DPCbody"/>
        <w:rPr>
          <w:sz w:val="22"/>
        </w:rPr>
      </w:pPr>
      <w:r w:rsidRPr="001342D1">
        <w:rPr>
          <w:sz w:val="22"/>
        </w:rPr>
        <w:lastRenderedPageBreak/>
        <w:t>Design of the excavation strategy will be in accordance with proper archaeological practice. This will include:</w:t>
      </w:r>
    </w:p>
    <w:p w14:paraId="21A34C45" w14:textId="77777777" w:rsidR="001D2E86" w:rsidRPr="001342D1" w:rsidRDefault="001D2E86" w:rsidP="001D2E86">
      <w:pPr>
        <w:pStyle w:val="DPCbody"/>
        <w:rPr>
          <w:sz w:val="22"/>
        </w:rPr>
      </w:pPr>
      <w:r w:rsidRPr="001342D1">
        <w:rPr>
          <w:sz w:val="22"/>
        </w:rPr>
        <w:t>A. Defining clear excavation research purposes and objectives</w:t>
      </w:r>
    </w:p>
    <w:p w14:paraId="10B1AB91" w14:textId="77777777" w:rsidR="001D2E86" w:rsidRPr="001342D1" w:rsidRDefault="001D2E86" w:rsidP="001D2E86">
      <w:pPr>
        <w:pStyle w:val="DPCbody"/>
        <w:rPr>
          <w:sz w:val="22"/>
        </w:rPr>
      </w:pPr>
      <w:r w:rsidRPr="001342D1">
        <w:rPr>
          <w:sz w:val="22"/>
        </w:rPr>
        <w:t>B. Documenting the complex assessment design, which includes the following -</w:t>
      </w:r>
    </w:p>
    <w:p w14:paraId="0B0F8B82" w14:textId="77777777" w:rsidR="001D2E86" w:rsidRPr="001342D1" w:rsidRDefault="001D2E86" w:rsidP="003B2114">
      <w:pPr>
        <w:pStyle w:val="DPCbody"/>
        <w:numPr>
          <w:ilvl w:val="0"/>
          <w:numId w:val="8"/>
        </w:numPr>
        <w:rPr>
          <w:sz w:val="22"/>
        </w:rPr>
      </w:pPr>
      <w:r w:rsidRPr="001342D1">
        <w:rPr>
          <w:sz w:val="22"/>
        </w:rPr>
        <w:t xml:space="preserve">Explaining intended excavation locations </w:t>
      </w:r>
    </w:p>
    <w:p w14:paraId="6E67A5AF" w14:textId="77777777" w:rsidR="001D2E86" w:rsidRPr="001342D1" w:rsidRDefault="001D2E86" w:rsidP="003B2114">
      <w:pPr>
        <w:pStyle w:val="DPCbody"/>
        <w:numPr>
          <w:ilvl w:val="0"/>
          <w:numId w:val="8"/>
        </w:numPr>
        <w:rPr>
          <w:sz w:val="22"/>
        </w:rPr>
      </w:pPr>
      <w:r w:rsidRPr="001342D1">
        <w:rPr>
          <w:sz w:val="22"/>
        </w:rPr>
        <w:t>Explaining sampling strategy such as random, systematic, stratified or non-probabilistic</w:t>
      </w:r>
    </w:p>
    <w:p w14:paraId="194C11E7" w14:textId="77777777" w:rsidR="001D2E86" w:rsidRPr="001342D1" w:rsidRDefault="001D2E86" w:rsidP="003B2114">
      <w:pPr>
        <w:pStyle w:val="DPCbody"/>
        <w:numPr>
          <w:ilvl w:val="0"/>
          <w:numId w:val="8"/>
        </w:numPr>
        <w:rPr>
          <w:sz w:val="22"/>
        </w:rPr>
      </w:pPr>
      <w:r w:rsidRPr="001342D1">
        <w:rPr>
          <w:sz w:val="22"/>
        </w:rPr>
        <w:t>Explaining post excavation research plan and custodial arrangements</w:t>
      </w:r>
    </w:p>
    <w:p w14:paraId="165790FB" w14:textId="77777777" w:rsidR="001D2E86" w:rsidRPr="001342D1" w:rsidRDefault="001D2E86" w:rsidP="003B2114">
      <w:pPr>
        <w:pStyle w:val="DPCbody"/>
        <w:numPr>
          <w:ilvl w:val="0"/>
          <w:numId w:val="8"/>
        </w:numPr>
        <w:rPr>
          <w:sz w:val="22"/>
        </w:rPr>
      </w:pPr>
      <w:r w:rsidRPr="001342D1">
        <w:rPr>
          <w:sz w:val="22"/>
        </w:rPr>
        <w:t>Explaining reporting process</w:t>
      </w:r>
    </w:p>
    <w:p w14:paraId="00FA8C0A" w14:textId="1D08768B" w:rsidR="001D2E86" w:rsidRPr="001342D1" w:rsidRDefault="001D2E86" w:rsidP="004F229A">
      <w:pPr>
        <w:pStyle w:val="DPCbody"/>
        <w:rPr>
          <w:sz w:val="22"/>
        </w:rPr>
      </w:pPr>
      <w:r w:rsidRPr="001342D1">
        <w:rPr>
          <w:sz w:val="22"/>
        </w:rPr>
        <w:t xml:space="preserve">The excavation strategy should be directed to emphasise the most sensitive areas as defined in the desktop and standard assessments, through RAP consultation and predictive modelling. The plan for undertaking a complex assessment will document how it is designed to assist the RAP assess section 61 matters, particularly sections 61(a) and (b). The agreed plan for undertaking a complex assessment, and the date agreed, </w:t>
      </w:r>
      <w:r w:rsidRPr="001342D1">
        <w:rPr>
          <w:sz w:val="22"/>
          <w:u w:val="single"/>
        </w:rPr>
        <w:t>must</w:t>
      </w:r>
      <w:r w:rsidRPr="001342D1">
        <w:rPr>
          <w:sz w:val="22"/>
        </w:rPr>
        <w:t xml:space="preserve"> be included in the CHMP.</w:t>
      </w:r>
    </w:p>
    <w:p w14:paraId="182E244C" w14:textId="77777777" w:rsidR="004F229A" w:rsidRPr="00A2381E" w:rsidRDefault="00862493" w:rsidP="00AF73C8">
      <w:pPr>
        <w:pStyle w:val="Heading2"/>
        <w:rPr>
          <w:color w:val="0072CE"/>
        </w:rPr>
      </w:pPr>
      <w:r w:rsidRPr="00A2381E">
        <w:rPr>
          <w:color w:val="0072CE"/>
        </w:rPr>
        <w:t>How much subsurface testing is necessary?</w:t>
      </w:r>
    </w:p>
    <w:p w14:paraId="3D3332A7" w14:textId="77777777" w:rsidR="00862493" w:rsidRPr="00A2381E" w:rsidRDefault="00862493" w:rsidP="00862493">
      <w:pPr>
        <w:pStyle w:val="DPCbody"/>
        <w:rPr>
          <w:sz w:val="22"/>
        </w:rPr>
      </w:pPr>
      <w:r w:rsidRPr="00A2381E">
        <w:rPr>
          <w:sz w:val="22"/>
        </w:rPr>
        <w:t xml:space="preserve">A subsurface testing strategy should be sufficient to enable you to </w:t>
      </w:r>
      <w:r w:rsidR="00CC2CAD" w:rsidRPr="00A2381E">
        <w:rPr>
          <w:sz w:val="22"/>
        </w:rPr>
        <w:t>determine</w:t>
      </w:r>
      <w:r w:rsidRPr="00A2381E">
        <w:rPr>
          <w:sz w:val="22"/>
        </w:rPr>
        <w:t xml:space="preserve">, with reasonable confidence, whether the proposed activity will cause harm </w:t>
      </w:r>
      <w:r w:rsidR="00CC2CAD" w:rsidRPr="00A2381E">
        <w:rPr>
          <w:sz w:val="22"/>
        </w:rPr>
        <w:t>to Aboriginal cultural heritage</w:t>
      </w:r>
      <w:r w:rsidRPr="00A2381E">
        <w:rPr>
          <w:sz w:val="22"/>
        </w:rPr>
        <w:t xml:space="preserve"> and if so, how the proposed activity could be altered to avoid harm and/or minimise harm. Subsurface testing should also be sufficient to provide a representative sample of the material culture present at the Aboriginal place, and to enable an informed assessment of the nature and significance of the place.</w:t>
      </w:r>
    </w:p>
    <w:p w14:paraId="702B0F99" w14:textId="77777777" w:rsidR="00862493" w:rsidRPr="00FD55EA" w:rsidRDefault="00862493" w:rsidP="00862493">
      <w:pPr>
        <w:pStyle w:val="DPCbody"/>
        <w:rPr>
          <w:sz w:val="22"/>
        </w:rPr>
      </w:pPr>
      <w:r w:rsidRPr="00FD55EA">
        <w:rPr>
          <w:sz w:val="22"/>
        </w:rPr>
        <w:t>Where appropriate, subsurface testing should aim to facilitate the registration of Aboriginal places by discrete landform, rather than attempting to define place extents based on positive / negative subsurface testing.</w:t>
      </w:r>
    </w:p>
    <w:p w14:paraId="3F02661B" w14:textId="77777777" w:rsidR="00862493" w:rsidRPr="00FD55EA" w:rsidRDefault="00862493" w:rsidP="00862493">
      <w:pPr>
        <w:pStyle w:val="DPCbody"/>
        <w:rPr>
          <w:sz w:val="22"/>
        </w:rPr>
      </w:pPr>
      <w:r w:rsidRPr="00FD55EA">
        <w:rPr>
          <w:sz w:val="22"/>
        </w:rPr>
        <w:t xml:space="preserve">It is not appropriate to define an Aboriginal place based on the dimensions of </w:t>
      </w:r>
      <w:r w:rsidR="00CC3D51" w:rsidRPr="00FD55EA">
        <w:rPr>
          <w:sz w:val="22"/>
        </w:rPr>
        <w:t>a single test pit or</w:t>
      </w:r>
      <w:r w:rsidRPr="00FD55EA">
        <w:rPr>
          <w:sz w:val="22"/>
        </w:rPr>
        <w:t xml:space="preserve"> shovel test pit.</w:t>
      </w:r>
    </w:p>
    <w:p w14:paraId="5A13E7A8" w14:textId="2F823829" w:rsidR="00862493" w:rsidRPr="001342D1" w:rsidRDefault="00862493" w:rsidP="00862493">
      <w:pPr>
        <w:pStyle w:val="DPCbody"/>
        <w:rPr>
          <w:sz w:val="22"/>
        </w:rPr>
      </w:pPr>
      <w:r w:rsidRPr="00FD55EA">
        <w:rPr>
          <w:sz w:val="22"/>
        </w:rPr>
        <w:t xml:space="preserve">If there is a </w:t>
      </w:r>
      <w:proofErr w:type="gramStart"/>
      <w:r w:rsidRPr="00FD55EA">
        <w:rPr>
          <w:sz w:val="22"/>
        </w:rPr>
        <w:t>fairly dense</w:t>
      </w:r>
      <w:proofErr w:type="gramEnd"/>
      <w:r w:rsidRPr="00FD55EA">
        <w:rPr>
          <w:sz w:val="22"/>
        </w:rPr>
        <w:t xml:space="preserve"> scatter of Aboriginal cultural heritage material visible on the ground surface</w:t>
      </w:r>
      <w:r w:rsidR="003652D5" w:rsidRPr="00FD55EA">
        <w:rPr>
          <w:sz w:val="22"/>
        </w:rPr>
        <w:t>,</w:t>
      </w:r>
      <w:r w:rsidRPr="00FD55EA">
        <w:rPr>
          <w:sz w:val="22"/>
        </w:rPr>
        <w:t xml:space="preserve"> </w:t>
      </w:r>
      <w:r w:rsidRPr="001342D1">
        <w:rPr>
          <w:sz w:val="22"/>
        </w:rPr>
        <w:t>only limited sampling on</w:t>
      </w:r>
      <w:r w:rsidR="003652D5" w:rsidRPr="001342D1">
        <w:rPr>
          <w:sz w:val="22"/>
        </w:rPr>
        <w:t>- and off-</w:t>
      </w:r>
      <w:r w:rsidRPr="001342D1">
        <w:rPr>
          <w:sz w:val="22"/>
        </w:rPr>
        <w:t>site, i.e. next to the visible Aboriginal cultural heritage material, may be required. However, if there is potential</w:t>
      </w:r>
      <w:r w:rsidR="000449CF" w:rsidRPr="001342D1">
        <w:rPr>
          <w:sz w:val="22"/>
        </w:rPr>
        <w:t xml:space="preserve"> for buried stratified deposits;</w:t>
      </w:r>
      <w:r w:rsidRPr="001342D1">
        <w:rPr>
          <w:sz w:val="22"/>
        </w:rPr>
        <w:t xml:space="preserve"> no surfac</w:t>
      </w:r>
      <w:r w:rsidR="000449CF" w:rsidRPr="001342D1">
        <w:rPr>
          <w:sz w:val="22"/>
        </w:rPr>
        <w:t>e evidence of cultural material;</w:t>
      </w:r>
      <w:r w:rsidRPr="001342D1">
        <w:rPr>
          <w:sz w:val="22"/>
        </w:rPr>
        <w:t xml:space="preserve"> then subsurface sampling will need to include larger and more closely spaced test pits. </w:t>
      </w:r>
      <w:proofErr w:type="gramStart"/>
      <w:r w:rsidRPr="001342D1">
        <w:rPr>
          <w:sz w:val="22"/>
        </w:rPr>
        <w:t>As a general rule</w:t>
      </w:r>
      <w:proofErr w:type="gramEnd"/>
      <w:r w:rsidR="000B46A2" w:rsidRPr="001342D1">
        <w:rPr>
          <w:sz w:val="22"/>
        </w:rPr>
        <w:t>,</w:t>
      </w:r>
      <w:r w:rsidRPr="001342D1">
        <w:rPr>
          <w:sz w:val="22"/>
        </w:rPr>
        <w:t xml:space="preserve"> each landform or discrete part of a landform that is likely to contain Aboriginal cultural heritage should be tested. Landforms or strata that are more likely to contain cultural deposits should be tested</w:t>
      </w:r>
      <w:r w:rsidR="000B46A2" w:rsidRPr="001342D1">
        <w:rPr>
          <w:sz w:val="22"/>
        </w:rPr>
        <w:t xml:space="preserve"> more thoroughly. </w:t>
      </w:r>
    </w:p>
    <w:p w14:paraId="7B07C2EA" w14:textId="77777777" w:rsidR="00FD55EA" w:rsidRPr="001342D1" w:rsidRDefault="00FD55EA" w:rsidP="00FD55EA">
      <w:pPr>
        <w:pStyle w:val="DPCbody"/>
        <w:rPr>
          <w:sz w:val="22"/>
        </w:rPr>
      </w:pPr>
      <w:r w:rsidRPr="001342D1">
        <w:rPr>
          <w:sz w:val="22"/>
        </w:rPr>
        <w:t xml:space="preserve">Excavations commenced within the impact area of an activity are not required to continue beyond the activity impact footprint, consistent with regulation 64(2). Instead, such excavations should be halted at the footprint </w:t>
      </w:r>
      <w:proofErr w:type="gramStart"/>
      <w:r w:rsidRPr="001342D1">
        <w:rPr>
          <w:sz w:val="22"/>
        </w:rPr>
        <w:t>limit</w:t>
      </w:r>
      <w:proofErr w:type="gramEnd"/>
      <w:r w:rsidRPr="001342D1">
        <w:rPr>
          <w:sz w:val="22"/>
        </w:rPr>
        <w:t xml:space="preserve"> and the extent, nature and significance of the Aboriginal place should be interpreted using the best available and non-invasive expertise and knowledge.  </w:t>
      </w:r>
    </w:p>
    <w:p w14:paraId="475AC948" w14:textId="70FF798F" w:rsidR="00FD55EA" w:rsidRPr="001342D1" w:rsidRDefault="00FD55EA" w:rsidP="00FD55EA">
      <w:pPr>
        <w:pStyle w:val="DPCbody"/>
        <w:rPr>
          <w:sz w:val="22"/>
        </w:rPr>
      </w:pPr>
      <w:r w:rsidRPr="001342D1">
        <w:rPr>
          <w:sz w:val="22"/>
        </w:rPr>
        <w:t xml:space="preserve">While excavations may cease at the boundary of the activity area, the determination and registration of the Aboriginal place extent </w:t>
      </w:r>
      <w:r w:rsidR="00D15007" w:rsidRPr="001342D1">
        <w:rPr>
          <w:sz w:val="22"/>
        </w:rPr>
        <w:t>should</w:t>
      </w:r>
      <w:r w:rsidRPr="001342D1">
        <w:rPr>
          <w:sz w:val="22"/>
        </w:rPr>
        <w:t xml:space="preserve"> extend beyond the activity area</w:t>
      </w:r>
      <w:r w:rsidR="00D15007" w:rsidRPr="001342D1">
        <w:rPr>
          <w:sz w:val="22"/>
        </w:rPr>
        <w:t xml:space="preserve"> where appropriate</w:t>
      </w:r>
      <w:r w:rsidRPr="001342D1">
        <w:rPr>
          <w:sz w:val="22"/>
        </w:rPr>
        <w:t>.</w:t>
      </w:r>
    </w:p>
    <w:p w14:paraId="414B7D22" w14:textId="2CFA41F8" w:rsidR="00FD55EA" w:rsidRPr="001342D1" w:rsidRDefault="003368F7" w:rsidP="00FD55EA">
      <w:pPr>
        <w:pStyle w:val="DPCbody"/>
        <w:rPr>
          <w:sz w:val="22"/>
        </w:rPr>
      </w:pPr>
      <w:r w:rsidRPr="001342D1">
        <w:rPr>
          <w:sz w:val="22"/>
        </w:rPr>
        <w:lastRenderedPageBreak/>
        <w:t xml:space="preserve">Given the actual extent of an Aboriginal place is open to interpretation, Aboriginal places can’t be ‘perfectly’ defined in many cases. </w:t>
      </w:r>
      <w:r w:rsidR="00FD55EA" w:rsidRPr="001342D1">
        <w:rPr>
          <w:sz w:val="22"/>
        </w:rPr>
        <w:t xml:space="preserve">Place extents are often a compromise integrating theoretical perspectives and field </w:t>
      </w:r>
      <w:r w:rsidR="002700CE" w:rsidRPr="001342D1">
        <w:rPr>
          <w:sz w:val="22"/>
        </w:rPr>
        <w:t>observations</w:t>
      </w:r>
      <w:r w:rsidR="00FD55EA" w:rsidRPr="001342D1">
        <w:rPr>
          <w:sz w:val="22"/>
        </w:rPr>
        <w:t xml:space="preserve">. </w:t>
      </w:r>
    </w:p>
    <w:p w14:paraId="48AB0DAB" w14:textId="77777777" w:rsidR="00862493" w:rsidRPr="00A2381E" w:rsidRDefault="00862493" w:rsidP="00AF73C8">
      <w:pPr>
        <w:pStyle w:val="Heading2"/>
        <w:rPr>
          <w:color w:val="0072CE"/>
        </w:rPr>
      </w:pPr>
      <w:r w:rsidRPr="00A2381E">
        <w:rPr>
          <w:color w:val="0072CE"/>
        </w:rPr>
        <w:t xml:space="preserve">What </w:t>
      </w:r>
      <w:r w:rsidR="000C7413" w:rsidRPr="00A2381E">
        <w:rPr>
          <w:color w:val="0072CE"/>
        </w:rPr>
        <w:t xml:space="preserve">are the most useful </w:t>
      </w:r>
      <w:r w:rsidRPr="00A2381E">
        <w:rPr>
          <w:color w:val="0072CE"/>
        </w:rPr>
        <w:t>subsurface testing methods?</w:t>
      </w:r>
    </w:p>
    <w:p w14:paraId="653839B4" w14:textId="7FEC3DD7" w:rsidR="00862493" w:rsidRPr="00A2381E" w:rsidRDefault="00862493" w:rsidP="00862493">
      <w:pPr>
        <w:pStyle w:val="DPCbody"/>
        <w:rPr>
          <w:sz w:val="22"/>
        </w:rPr>
      </w:pPr>
      <w:r w:rsidRPr="00A2381E">
        <w:rPr>
          <w:sz w:val="22"/>
        </w:rPr>
        <w:t xml:space="preserve">There are </w:t>
      </w:r>
      <w:proofErr w:type="gramStart"/>
      <w:r w:rsidRPr="00A2381E">
        <w:rPr>
          <w:sz w:val="22"/>
        </w:rPr>
        <w:t>a number of</w:t>
      </w:r>
      <w:proofErr w:type="gramEnd"/>
      <w:r w:rsidRPr="00A2381E">
        <w:rPr>
          <w:sz w:val="22"/>
        </w:rPr>
        <w:t xml:space="preserve"> subsurface testing methods that may be used as part of preparing a </w:t>
      </w:r>
      <w:r w:rsidR="00722AAB" w:rsidRPr="00A2381E">
        <w:rPr>
          <w:sz w:val="22"/>
        </w:rPr>
        <w:t>CHMP</w:t>
      </w:r>
      <w:r w:rsidRPr="00A2381E">
        <w:rPr>
          <w:sz w:val="22"/>
        </w:rPr>
        <w:t xml:space="preserve">. These are described </w:t>
      </w:r>
      <w:r w:rsidR="00722AAB" w:rsidRPr="00A2381E">
        <w:rPr>
          <w:sz w:val="22"/>
        </w:rPr>
        <w:t>with</w:t>
      </w:r>
      <w:r w:rsidRPr="00A2381E">
        <w:rPr>
          <w:sz w:val="22"/>
        </w:rPr>
        <w:t xml:space="preserve"> comments </w:t>
      </w:r>
      <w:r w:rsidR="00722AAB" w:rsidRPr="00A2381E">
        <w:rPr>
          <w:sz w:val="22"/>
        </w:rPr>
        <w:t>on</w:t>
      </w:r>
      <w:r w:rsidRPr="00A2381E">
        <w:rPr>
          <w:sz w:val="22"/>
        </w:rPr>
        <w:t xml:space="preserve"> their appropriate </w:t>
      </w:r>
      <w:r w:rsidR="00722AAB" w:rsidRPr="00A2381E">
        <w:rPr>
          <w:sz w:val="22"/>
        </w:rPr>
        <w:t>conduct</w:t>
      </w:r>
      <w:r w:rsidRPr="00A2381E">
        <w:rPr>
          <w:sz w:val="22"/>
        </w:rPr>
        <w:t xml:space="preserve"> in accordance with </w:t>
      </w:r>
      <w:r w:rsidR="00722AAB" w:rsidRPr="00A2381E">
        <w:rPr>
          <w:sz w:val="22"/>
        </w:rPr>
        <w:t xml:space="preserve">proper archaeological practice in </w:t>
      </w:r>
      <w:r w:rsidRPr="00A2381E">
        <w:rPr>
          <w:sz w:val="22"/>
        </w:rPr>
        <w:t>Regulation</w:t>
      </w:r>
      <w:r w:rsidR="00722AAB" w:rsidRPr="00A2381E">
        <w:rPr>
          <w:sz w:val="22"/>
        </w:rPr>
        <w:t>s 6</w:t>
      </w:r>
      <w:r w:rsidR="000958FD">
        <w:rPr>
          <w:sz w:val="22"/>
        </w:rPr>
        <w:t>5</w:t>
      </w:r>
      <w:r w:rsidR="00722AAB" w:rsidRPr="00A2381E">
        <w:rPr>
          <w:sz w:val="22"/>
        </w:rPr>
        <w:t>(3) and 6</w:t>
      </w:r>
      <w:r w:rsidR="000958FD">
        <w:rPr>
          <w:sz w:val="22"/>
        </w:rPr>
        <w:t>5</w:t>
      </w:r>
      <w:r w:rsidR="00722AAB" w:rsidRPr="00A2381E">
        <w:rPr>
          <w:sz w:val="22"/>
        </w:rPr>
        <w:t>(7)</w:t>
      </w:r>
      <w:r w:rsidRPr="00A2381E">
        <w:rPr>
          <w:sz w:val="22"/>
        </w:rPr>
        <w:t xml:space="preserve">. </w:t>
      </w:r>
    </w:p>
    <w:p w14:paraId="390A8D67" w14:textId="1A3AEA49" w:rsidR="00862493" w:rsidRPr="00A2381E" w:rsidRDefault="00862493" w:rsidP="00862493">
      <w:pPr>
        <w:pStyle w:val="DPCbody"/>
        <w:rPr>
          <w:sz w:val="22"/>
        </w:rPr>
      </w:pPr>
      <w:r w:rsidRPr="00A2381E">
        <w:rPr>
          <w:b/>
          <w:sz w:val="22"/>
        </w:rPr>
        <w:t>Manual auger –</w:t>
      </w:r>
      <w:r w:rsidRPr="00A2381E">
        <w:rPr>
          <w:sz w:val="22"/>
        </w:rPr>
        <w:t xml:space="preserve"> </w:t>
      </w:r>
      <w:r w:rsidR="001C1E99" w:rsidRPr="00A2381E">
        <w:rPr>
          <w:sz w:val="22"/>
        </w:rPr>
        <w:t>Testing with a manual auger is the only ground-disturbing subsurface testing method permitted during a standard assessment</w:t>
      </w:r>
      <w:r w:rsidR="00CE24A5" w:rsidRPr="00A2381E">
        <w:rPr>
          <w:sz w:val="22"/>
        </w:rPr>
        <w:t xml:space="preserve"> for a CHMP</w:t>
      </w:r>
      <w:r w:rsidRPr="00A2381E">
        <w:rPr>
          <w:sz w:val="22"/>
        </w:rPr>
        <w:t xml:space="preserve">. Regulation </w:t>
      </w:r>
      <w:r w:rsidR="00D836E8">
        <w:rPr>
          <w:sz w:val="22"/>
        </w:rPr>
        <w:t>63</w:t>
      </w:r>
      <w:r w:rsidRPr="00A2381E">
        <w:rPr>
          <w:sz w:val="22"/>
        </w:rPr>
        <w:t xml:space="preserve">(4)(f) states that soil and sediment testing may be carried out with a manual auger no </w:t>
      </w:r>
      <w:r w:rsidR="00CE24A5" w:rsidRPr="00A2381E">
        <w:rPr>
          <w:sz w:val="22"/>
        </w:rPr>
        <w:t>larger than 12cm in diameter. Manual augering</w:t>
      </w:r>
      <w:r w:rsidRPr="00A2381E">
        <w:rPr>
          <w:sz w:val="22"/>
        </w:rPr>
        <w:t xml:space="preserve"> may only be used to assist in defining the nature and extent of identified Aboriginal cultural heritage. </w:t>
      </w:r>
      <w:r w:rsidR="00CE24A5" w:rsidRPr="00A2381E">
        <w:rPr>
          <w:sz w:val="22"/>
        </w:rPr>
        <w:t>It</w:t>
      </w:r>
      <w:r w:rsidRPr="00A2381E">
        <w:rPr>
          <w:sz w:val="22"/>
        </w:rPr>
        <w:t xml:space="preserve"> may not be used as a ‘site discovery’ survey technique in a standard assessment. </w:t>
      </w:r>
    </w:p>
    <w:p w14:paraId="64DF682E" w14:textId="77777777" w:rsidR="00862493" w:rsidRPr="00A2381E" w:rsidRDefault="00DD5472" w:rsidP="00862493">
      <w:pPr>
        <w:pStyle w:val="DPCbody"/>
        <w:rPr>
          <w:sz w:val="22"/>
        </w:rPr>
      </w:pPr>
      <w:r w:rsidRPr="00A2381E">
        <w:rPr>
          <w:sz w:val="22"/>
        </w:rPr>
        <w:t>Due to</w:t>
      </w:r>
      <w:r w:rsidR="00862493" w:rsidRPr="00A2381E">
        <w:rPr>
          <w:sz w:val="22"/>
        </w:rPr>
        <w:t xml:space="preserve"> the </w:t>
      </w:r>
      <w:r w:rsidRPr="00A2381E">
        <w:rPr>
          <w:sz w:val="22"/>
        </w:rPr>
        <w:t>narrow diameter</w:t>
      </w:r>
      <w:r w:rsidR="00862493" w:rsidRPr="00A2381E">
        <w:rPr>
          <w:sz w:val="22"/>
        </w:rPr>
        <w:t xml:space="preserve"> of a manual auger, this subsurface testing method is only useful in certain circumstances. It can, for example, assist in defining the extent of an Aboriginal earthen mound or shell midden, or testing that natural clay has been reached, but is unlikely to be of any use for defining the extent of stone artefact scatters. All excavated deposits (100%) must be sieved.</w:t>
      </w:r>
    </w:p>
    <w:p w14:paraId="69AC9CA7" w14:textId="010C95ED" w:rsidR="00862493" w:rsidRPr="00A2381E" w:rsidRDefault="00DD5472" w:rsidP="00862493">
      <w:pPr>
        <w:pStyle w:val="DPCbody"/>
        <w:rPr>
          <w:sz w:val="22"/>
        </w:rPr>
      </w:pPr>
      <w:r w:rsidRPr="00A2381E">
        <w:rPr>
          <w:sz w:val="22"/>
        </w:rPr>
        <w:t>A manual auger</w:t>
      </w:r>
      <w:r w:rsidR="00862493" w:rsidRPr="00A2381E">
        <w:rPr>
          <w:sz w:val="22"/>
        </w:rPr>
        <w:t xml:space="preserve"> may also be used as p</w:t>
      </w:r>
      <w:r w:rsidR="00833507" w:rsidRPr="00A2381E">
        <w:rPr>
          <w:sz w:val="22"/>
        </w:rPr>
        <w:t>art of a complex assessment. M</w:t>
      </w:r>
      <w:r w:rsidR="00862493" w:rsidRPr="00A2381E">
        <w:rPr>
          <w:sz w:val="22"/>
        </w:rPr>
        <w:t>anual auger</w:t>
      </w:r>
      <w:r w:rsidR="00833507" w:rsidRPr="00A2381E">
        <w:rPr>
          <w:sz w:val="22"/>
        </w:rPr>
        <w:t>ing</w:t>
      </w:r>
      <w:r w:rsidR="00862493" w:rsidRPr="00A2381E">
        <w:rPr>
          <w:sz w:val="22"/>
        </w:rPr>
        <w:t xml:space="preserve"> can assist in identifying major changes in stratigraphy, but where sediments are loose, these may crumble in the auger, making it difficult to obtain a controlled sample sequence of the stratigraphy (as required by Regulation 6</w:t>
      </w:r>
      <w:r w:rsidR="00D836E8">
        <w:rPr>
          <w:sz w:val="22"/>
        </w:rPr>
        <w:t>5</w:t>
      </w:r>
      <w:r w:rsidR="00862493" w:rsidRPr="00A2381E">
        <w:rPr>
          <w:sz w:val="22"/>
        </w:rPr>
        <w:t>(4)). In such circumstances, a sand auger or a test pit should be used.</w:t>
      </w:r>
    </w:p>
    <w:p w14:paraId="1E029ABF" w14:textId="77777777" w:rsidR="00862493" w:rsidRPr="00A2381E" w:rsidRDefault="00862493" w:rsidP="00862493">
      <w:pPr>
        <w:pStyle w:val="DPCbody"/>
        <w:rPr>
          <w:sz w:val="22"/>
        </w:rPr>
      </w:pPr>
      <w:r w:rsidRPr="00A2381E">
        <w:rPr>
          <w:sz w:val="22"/>
        </w:rPr>
        <w:t>In a complex assessment, manual augering may be used to supplement the results from controlled test pit excavations</w:t>
      </w:r>
      <w:r w:rsidR="00833507" w:rsidRPr="00A2381E">
        <w:rPr>
          <w:sz w:val="22"/>
        </w:rPr>
        <w:t xml:space="preserve"> – to provide</w:t>
      </w:r>
      <w:r w:rsidRPr="00A2381E">
        <w:rPr>
          <w:sz w:val="22"/>
        </w:rPr>
        <w:t xml:space="preserve"> additional spatial information when tracing the extent and characteristics of certain lenses or layers identified in the te</w:t>
      </w:r>
      <w:r w:rsidR="007972D3" w:rsidRPr="00A2381E">
        <w:rPr>
          <w:sz w:val="22"/>
        </w:rPr>
        <w:t xml:space="preserve">st pits. In these circumstances, using a manual auger </w:t>
      </w:r>
      <w:r w:rsidRPr="00A2381E">
        <w:rPr>
          <w:sz w:val="22"/>
        </w:rPr>
        <w:t>is less destructive and labour intensive than excavating additional test pits.</w:t>
      </w:r>
    </w:p>
    <w:p w14:paraId="64F75053" w14:textId="77777777" w:rsidR="00862493" w:rsidRPr="00A2381E" w:rsidRDefault="00862493" w:rsidP="00862493">
      <w:pPr>
        <w:pStyle w:val="DPCbody"/>
        <w:rPr>
          <w:sz w:val="22"/>
        </w:rPr>
      </w:pPr>
      <w:r w:rsidRPr="00A2381E">
        <w:rPr>
          <w:sz w:val="22"/>
        </w:rPr>
        <w:t>In a complex assessment a manual auger may have a larger diameter</w:t>
      </w:r>
      <w:r w:rsidR="003A74C7" w:rsidRPr="00A2381E">
        <w:rPr>
          <w:sz w:val="22"/>
        </w:rPr>
        <w:t xml:space="preserve"> that the 12cm allowed for a standard assessment, in</w:t>
      </w:r>
      <w:r w:rsidRPr="00A2381E">
        <w:rPr>
          <w:sz w:val="22"/>
        </w:rPr>
        <w:t xml:space="preserve"> consultation with the relevant RAP or Traditional Owner group(s), although it is recommended that this be less than 25cm. Mechanical augers may sometimes be used when a manual auger cannot reach a particular depth and/or when the sediments are too hard for a manual auger. They may also be of assistance in guiding the use of mechanical excavati</w:t>
      </w:r>
      <w:r w:rsidR="00D858A4" w:rsidRPr="00A2381E">
        <w:rPr>
          <w:sz w:val="22"/>
        </w:rPr>
        <w:t>ons under limited circumstances</w:t>
      </w:r>
      <w:r w:rsidRPr="00A2381E">
        <w:rPr>
          <w:sz w:val="22"/>
        </w:rPr>
        <w:t>. All excavated deposits (100%) must be sieved.</w:t>
      </w:r>
    </w:p>
    <w:p w14:paraId="7ED1702B" w14:textId="250D52B3" w:rsidR="00862493" w:rsidRPr="00A2381E" w:rsidRDefault="00862493" w:rsidP="00862493">
      <w:pPr>
        <w:pStyle w:val="DPCbody"/>
        <w:rPr>
          <w:sz w:val="22"/>
        </w:rPr>
      </w:pPr>
      <w:r w:rsidRPr="00A2381E">
        <w:rPr>
          <w:b/>
          <w:sz w:val="22"/>
        </w:rPr>
        <w:t xml:space="preserve">Shovel test pit (STP) – </w:t>
      </w:r>
      <w:r w:rsidRPr="00A2381E">
        <w:rPr>
          <w:sz w:val="22"/>
        </w:rPr>
        <w:t xml:space="preserve">These </w:t>
      </w:r>
      <w:r w:rsidR="00D858A4" w:rsidRPr="00A2381E">
        <w:rPr>
          <w:sz w:val="22"/>
        </w:rPr>
        <w:t>should</w:t>
      </w:r>
      <w:r w:rsidRPr="00A2381E">
        <w:rPr>
          <w:sz w:val="22"/>
        </w:rPr>
        <w:t xml:space="preserve"> be no smaller than 0.5m x 0.5m in size and have vertical s</w:t>
      </w:r>
      <w:r w:rsidR="000032FE" w:rsidRPr="00A2381E">
        <w:rPr>
          <w:sz w:val="22"/>
        </w:rPr>
        <w:t>ides. S</w:t>
      </w:r>
      <w:r w:rsidRPr="00A2381E">
        <w:rPr>
          <w:sz w:val="22"/>
        </w:rPr>
        <w:t xml:space="preserve">maller STPs and those that taper markedly with depth are of little value for investigating deposits with variable artefact densities. STPs can be excavated by shovel or spade to the maximum depth of the proposed impact; vertical control should be maintained </w:t>
      </w:r>
      <w:proofErr w:type="gramStart"/>
      <w:r w:rsidRPr="00A2381E">
        <w:rPr>
          <w:sz w:val="22"/>
        </w:rPr>
        <w:t>so as to</w:t>
      </w:r>
      <w:proofErr w:type="gramEnd"/>
      <w:r w:rsidRPr="00A2381E">
        <w:rPr>
          <w:sz w:val="22"/>
        </w:rPr>
        <w:t xml:space="preserve"> identify the depth at which any artefacts occur.</w:t>
      </w:r>
    </w:p>
    <w:p w14:paraId="43C910AA" w14:textId="77777777" w:rsidR="00862493" w:rsidRPr="00A2381E" w:rsidRDefault="00862493" w:rsidP="00862493">
      <w:pPr>
        <w:pStyle w:val="DPCbody"/>
        <w:rPr>
          <w:sz w:val="22"/>
        </w:rPr>
      </w:pPr>
      <w:r w:rsidRPr="00A2381E">
        <w:rPr>
          <w:sz w:val="22"/>
        </w:rPr>
        <w:t xml:space="preserve">STPs which do not meet these </w:t>
      </w:r>
      <w:r w:rsidR="00B66D9E" w:rsidRPr="00A2381E">
        <w:rPr>
          <w:sz w:val="22"/>
        </w:rPr>
        <w:t xml:space="preserve">standards </w:t>
      </w:r>
      <w:r w:rsidRPr="00A2381E">
        <w:rPr>
          <w:sz w:val="22"/>
        </w:rPr>
        <w:t xml:space="preserve">are of little use </w:t>
      </w:r>
      <w:r w:rsidR="000032FE" w:rsidRPr="00A2381E">
        <w:rPr>
          <w:sz w:val="22"/>
        </w:rPr>
        <w:t xml:space="preserve">to </w:t>
      </w:r>
      <w:r w:rsidR="004110FB" w:rsidRPr="00A2381E">
        <w:rPr>
          <w:sz w:val="22"/>
        </w:rPr>
        <w:t>develop an understanding of</w:t>
      </w:r>
      <w:r w:rsidRPr="00A2381E">
        <w:rPr>
          <w:sz w:val="22"/>
        </w:rPr>
        <w:t xml:space="preserve"> the nature, extent and significance of Aboriginal cultural heritage. All excavated deposits (100%) must be sieved.</w:t>
      </w:r>
    </w:p>
    <w:p w14:paraId="13912B18" w14:textId="77777777" w:rsidR="00862493" w:rsidRPr="00A2381E" w:rsidRDefault="00862493" w:rsidP="00862493">
      <w:pPr>
        <w:pStyle w:val="DPCbody"/>
        <w:rPr>
          <w:sz w:val="22"/>
        </w:rPr>
      </w:pPr>
      <w:r w:rsidRPr="00A2381E">
        <w:rPr>
          <w:sz w:val="22"/>
        </w:rPr>
        <w:t xml:space="preserve">Each STP found to contain cultural material </w:t>
      </w:r>
      <w:r w:rsidR="00B43AF8" w:rsidRPr="00A2381E">
        <w:rPr>
          <w:sz w:val="22"/>
        </w:rPr>
        <w:t>should</w:t>
      </w:r>
      <w:r w:rsidRPr="00A2381E">
        <w:rPr>
          <w:sz w:val="22"/>
        </w:rPr>
        <w:t xml:space="preserve"> be expanded to at least 1m x 1m in area and be </w:t>
      </w:r>
      <w:r w:rsidR="00707A0C" w:rsidRPr="00A2381E">
        <w:rPr>
          <w:sz w:val="22"/>
        </w:rPr>
        <w:t xml:space="preserve">manually </w:t>
      </w:r>
      <w:r w:rsidRPr="00A2381E">
        <w:rPr>
          <w:sz w:val="22"/>
        </w:rPr>
        <w:t>excavated in a controlled manner, to properly</w:t>
      </w:r>
      <w:r w:rsidR="00707A0C" w:rsidRPr="00A2381E">
        <w:rPr>
          <w:sz w:val="22"/>
        </w:rPr>
        <w:t xml:space="preserve"> consider</w:t>
      </w:r>
      <w:r w:rsidRPr="00A2381E">
        <w:rPr>
          <w:sz w:val="22"/>
        </w:rPr>
        <w:t xml:space="preserve"> the </w:t>
      </w:r>
      <w:r w:rsidR="00707A0C" w:rsidRPr="00A2381E">
        <w:rPr>
          <w:sz w:val="22"/>
        </w:rPr>
        <w:t>nature of the cultural material</w:t>
      </w:r>
      <w:r w:rsidRPr="00A2381E">
        <w:rPr>
          <w:sz w:val="22"/>
        </w:rPr>
        <w:t xml:space="preserve">. </w:t>
      </w:r>
      <w:r w:rsidR="00707A0C" w:rsidRPr="00A2381E">
        <w:rPr>
          <w:sz w:val="22"/>
        </w:rPr>
        <w:t>Only if</w:t>
      </w:r>
      <w:r w:rsidR="00DD18CA" w:rsidRPr="00A2381E">
        <w:rPr>
          <w:sz w:val="22"/>
        </w:rPr>
        <w:t xml:space="preserve"> a</w:t>
      </w:r>
      <w:r w:rsidRPr="00A2381E">
        <w:rPr>
          <w:sz w:val="22"/>
        </w:rPr>
        <w:t xml:space="preserve"> STP is being used to augment</w:t>
      </w:r>
      <w:r w:rsidR="00707A0C" w:rsidRPr="00A2381E">
        <w:rPr>
          <w:sz w:val="22"/>
        </w:rPr>
        <w:t xml:space="preserve"> information from an existing test pit</w:t>
      </w:r>
      <w:r w:rsidRPr="00A2381E">
        <w:rPr>
          <w:sz w:val="22"/>
        </w:rPr>
        <w:t>, such as in extent testing, is expand</w:t>
      </w:r>
      <w:r w:rsidR="00707A0C" w:rsidRPr="00A2381E">
        <w:rPr>
          <w:sz w:val="22"/>
        </w:rPr>
        <w:t>ing</w:t>
      </w:r>
      <w:r w:rsidRPr="00A2381E">
        <w:rPr>
          <w:sz w:val="22"/>
        </w:rPr>
        <w:t xml:space="preserve"> the STP</w:t>
      </w:r>
      <w:r w:rsidR="00707A0C" w:rsidRPr="00A2381E">
        <w:rPr>
          <w:sz w:val="22"/>
        </w:rPr>
        <w:t xml:space="preserve"> unnecessary</w:t>
      </w:r>
      <w:r w:rsidRPr="00A2381E">
        <w:rPr>
          <w:sz w:val="22"/>
        </w:rPr>
        <w:t>.</w:t>
      </w:r>
    </w:p>
    <w:p w14:paraId="432EE952" w14:textId="77777777" w:rsidR="00862493" w:rsidRPr="00A2381E" w:rsidRDefault="00862493" w:rsidP="00862493">
      <w:pPr>
        <w:pStyle w:val="DPCbody"/>
        <w:rPr>
          <w:sz w:val="22"/>
        </w:rPr>
      </w:pPr>
      <w:r w:rsidRPr="00A2381E">
        <w:rPr>
          <w:b/>
          <w:sz w:val="22"/>
        </w:rPr>
        <w:lastRenderedPageBreak/>
        <w:t>Test Pit (TP) –</w:t>
      </w:r>
      <w:r w:rsidRPr="00A2381E">
        <w:rPr>
          <w:sz w:val="22"/>
        </w:rPr>
        <w:t xml:space="preserve"> These are controlled excavation pits at least 1m x 1m in area, although larger or additional pits may be excavated</w:t>
      </w:r>
      <w:r w:rsidR="00226E74" w:rsidRPr="00A2381E">
        <w:rPr>
          <w:sz w:val="22"/>
        </w:rPr>
        <w:t xml:space="preserve">. While a </w:t>
      </w:r>
      <w:r w:rsidRPr="00A2381E">
        <w:rPr>
          <w:sz w:val="22"/>
        </w:rPr>
        <w:t>spade may be used to excavate the topsoil and/or deposits where there is no cultural material, as soon as artefacts are identified the TP should be excavated manually using small hand tools (trowels, where possible) and in accordance with proper archaeological practice. Excavation should be in stratigraphic layers and/or arbitrary levels (maximum of 5 – 10cm spits) to the maximum depth of the proposed impact</w:t>
      </w:r>
      <w:r w:rsidR="00226E74" w:rsidRPr="00A2381E">
        <w:rPr>
          <w:sz w:val="22"/>
        </w:rPr>
        <w:t xml:space="preserve"> of the activity</w:t>
      </w:r>
      <w:r w:rsidRPr="00A2381E">
        <w:rPr>
          <w:sz w:val="22"/>
        </w:rPr>
        <w:t>, sterile</w:t>
      </w:r>
      <w:r w:rsidR="00226E74" w:rsidRPr="00A2381E">
        <w:rPr>
          <w:sz w:val="22"/>
        </w:rPr>
        <w:t xml:space="preserve"> layer</w:t>
      </w:r>
      <w:r w:rsidRPr="00A2381E">
        <w:rPr>
          <w:sz w:val="22"/>
        </w:rPr>
        <w:t xml:space="preserve">, or weathered </w:t>
      </w:r>
      <w:r w:rsidR="00226E74" w:rsidRPr="00A2381E">
        <w:rPr>
          <w:sz w:val="22"/>
        </w:rPr>
        <w:t>bedrock. The TP</w:t>
      </w:r>
      <w:r w:rsidRPr="00A2381E">
        <w:rPr>
          <w:sz w:val="22"/>
        </w:rPr>
        <w:t xml:space="preserve"> should have straight vertical walls and maintain consistent horizontal dimensions, i.e. not step down and become small</w:t>
      </w:r>
      <w:r w:rsidR="00226E74" w:rsidRPr="00A2381E">
        <w:rPr>
          <w:sz w:val="22"/>
        </w:rPr>
        <w:t>er. If the depth of the TP</w:t>
      </w:r>
      <w:r w:rsidRPr="00A2381E">
        <w:rPr>
          <w:sz w:val="22"/>
        </w:rPr>
        <w:t xml:space="preserve"> is, or becomes a safety issue, a larger area should be opened and excavated in a controlled manner, or Safe Work Australia’s Excavation Work Code of Practice standards for trenching and shoring must be followed</w:t>
      </w:r>
      <w:r w:rsidR="00D76331" w:rsidRPr="00A2381E">
        <w:rPr>
          <w:sz w:val="22"/>
        </w:rPr>
        <w:t>. A TP</w:t>
      </w:r>
      <w:r w:rsidRPr="00A2381E">
        <w:rPr>
          <w:sz w:val="22"/>
        </w:rPr>
        <w:t xml:space="preserve"> is the most useful method for carrying out controlled subsurface testing. It can be useful for understanding and documenting the stratigraphy and may be used on-site or off-site. All excavated deposits (100%) must be sieved.</w:t>
      </w:r>
    </w:p>
    <w:p w14:paraId="79B9D211" w14:textId="77777777" w:rsidR="00D76331" w:rsidRPr="00A2381E" w:rsidRDefault="00862493" w:rsidP="00862493">
      <w:pPr>
        <w:pStyle w:val="DPCbody"/>
        <w:rPr>
          <w:sz w:val="22"/>
        </w:rPr>
      </w:pPr>
      <w:r w:rsidRPr="00A2381E">
        <w:rPr>
          <w:b/>
          <w:sz w:val="22"/>
        </w:rPr>
        <w:t>Mechanical excavation –</w:t>
      </w:r>
      <w:r w:rsidRPr="00A2381E">
        <w:rPr>
          <w:sz w:val="22"/>
        </w:rPr>
        <w:t xml:space="preserve"> Mechanical excavation should </w:t>
      </w:r>
      <w:r w:rsidR="00D76331" w:rsidRPr="00A2381E">
        <w:rPr>
          <w:sz w:val="22"/>
        </w:rPr>
        <w:t xml:space="preserve">only </w:t>
      </w:r>
      <w:r w:rsidRPr="00A2381E">
        <w:rPr>
          <w:sz w:val="22"/>
        </w:rPr>
        <w:t xml:space="preserve">be considered when manual excavation is not practicable </w:t>
      </w:r>
      <w:r w:rsidR="00D76331" w:rsidRPr="00A2381E">
        <w:rPr>
          <w:sz w:val="22"/>
        </w:rPr>
        <w:t xml:space="preserve">- </w:t>
      </w:r>
      <w:r w:rsidRPr="00A2381E">
        <w:rPr>
          <w:sz w:val="22"/>
        </w:rPr>
        <w:t xml:space="preserve">such as when the cultural deposits are deep and below extensive sterile layers or when the area to be investigated is too large to systematically sample by manual excavation. </w:t>
      </w:r>
    </w:p>
    <w:p w14:paraId="68BCC9DD" w14:textId="1C0A45AE" w:rsidR="00D76331" w:rsidRPr="001342D1" w:rsidRDefault="00D76331" w:rsidP="00862493">
      <w:pPr>
        <w:pStyle w:val="DPCbody"/>
        <w:rPr>
          <w:sz w:val="22"/>
        </w:rPr>
      </w:pPr>
      <w:r w:rsidRPr="00A2381E">
        <w:rPr>
          <w:sz w:val="22"/>
        </w:rPr>
        <w:t>M</w:t>
      </w:r>
      <w:r w:rsidR="00862493" w:rsidRPr="00A2381E">
        <w:rPr>
          <w:sz w:val="22"/>
        </w:rPr>
        <w:t>echanical excavation should be carried out in a control</w:t>
      </w:r>
      <w:r w:rsidRPr="00A2381E">
        <w:rPr>
          <w:sz w:val="22"/>
        </w:rPr>
        <w:t>led manner. U</w:t>
      </w:r>
      <w:r w:rsidR="00862493" w:rsidRPr="00A2381E">
        <w:rPr>
          <w:sz w:val="22"/>
        </w:rPr>
        <w:t xml:space="preserve">sing appropriate machines, </w:t>
      </w:r>
      <w:r w:rsidRPr="00A2381E">
        <w:rPr>
          <w:sz w:val="22"/>
        </w:rPr>
        <w:t xml:space="preserve">operators </w:t>
      </w:r>
      <w:r w:rsidR="00862493" w:rsidRPr="00A2381E">
        <w:rPr>
          <w:sz w:val="22"/>
        </w:rPr>
        <w:t xml:space="preserve">should </w:t>
      </w:r>
      <w:r w:rsidR="00862493" w:rsidRPr="001342D1">
        <w:rPr>
          <w:sz w:val="22"/>
        </w:rPr>
        <w:t xml:space="preserve">be able to excavate in even, horizontal scrapes, </w:t>
      </w:r>
      <w:proofErr w:type="spellStart"/>
      <w:r w:rsidRPr="001342D1">
        <w:rPr>
          <w:sz w:val="22"/>
        </w:rPr>
        <w:t>utlising</w:t>
      </w:r>
      <w:proofErr w:type="spellEnd"/>
      <w:r w:rsidR="00862493" w:rsidRPr="001342D1">
        <w:rPr>
          <w:sz w:val="22"/>
        </w:rPr>
        <w:t xml:space="preserve"> the stratigraphic basis that was established beforehand. </w:t>
      </w:r>
      <w:r w:rsidR="001D5A44" w:rsidRPr="001342D1">
        <w:rPr>
          <w:sz w:val="22"/>
        </w:rPr>
        <w:t xml:space="preserve">The methodology must ensure </w:t>
      </w:r>
      <w:r w:rsidR="0002710C" w:rsidRPr="001342D1">
        <w:rPr>
          <w:sz w:val="22"/>
        </w:rPr>
        <w:t xml:space="preserve">material from higher in the </w:t>
      </w:r>
      <w:r w:rsidR="008B0D0A" w:rsidRPr="001342D1">
        <w:rPr>
          <w:sz w:val="22"/>
        </w:rPr>
        <w:t xml:space="preserve">profile </w:t>
      </w:r>
      <w:r w:rsidR="00B64362" w:rsidRPr="001342D1">
        <w:rPr>
          <w:sz w:val="22"/>
        </w:rPr>
        <w:t>is</w:t>
      </w:r>
      <w:r w:rsidR="008B0D0A" w:rsidRPr="001342D1">
        <w:rPr>
          <w:sz w:val="22"/>
        </w:rPr>
        <w:t xml:space="preserve"> not accidentally introduced to </w:t>
      </w:r>
      <w:r w:rsidR="00B64362" w:rsidRPr="001342D1">
        <w:rPr>
          <w:sz w:val="22"/>
        </w:rPr>
        <w:t>lower deposits.</w:t>
      </w:r>
      <w:r w:rsidR="001D5A44" w:rsidRPr="001342D1">
        <w:rPr>
          <w:sz w:val="22"/>
        </w:rPr>
        <w:t xml:space="preserve"> </w:t>
      </w:r>
      <w:r w:rsidR="00862493" w:rsidRPr="001342D1">
        <w:rPr>
          <w:sz w:val="22"/>
        </w:rPr>
        <w:t xml:space="preserve">Any Aboriginal cultural heritage material found through sieving should be able to be provenanced to the appropriate stratigraphic layer and approximate horizontal location. It is, for example, not appropriate to report that 200 Aboriginal stone artefacts were found in a 400m x 1m trench that was 3m deep; greater locational precision is required. </w:t>
      </w:r>
    </w:p>
    <w:p w14:paraId="2D990E82" w14:textId="77777777" w:rsidR="00862493" w:rsidRPr="001342D1" w:rsidRDefault="00862493" w:rsidP="00862493">
      <w:pPr>
        <w:pStyle w:val="DPCbody"/>
        <w:rPr>
          <w:sz w:val="22"/>
        </w:rPr>
      </w:pPr>
      <w:r w:rsidRPr="001342D1">
        <w:rPr>
          <w:sz w:val="22"/>
        </w:rPr>
        <w:t xml:space="preserve">Mechanical excavation should be conducted in a manner that will assist in determining the nature, extent and significance of any Aboriginal cultural heritage that may be impacted by the proposed activity. Note that where occupation deposits or features are encountered, these must be uncovered and assessed by controlled manual excavation. </w:t>
      </w:r>
    </w:p>
    <w:p w14:paraId="63CE684B" w14:textId="77777777" w:rsidR="00862493" w:rsidRPr="00A2381E" w:rsidRDefault="00862493" w:rsidP="00862493">
      <w:pPr>
        <w:pStyle w:val="DPCbody"/>
        <w:rPr>
          <w:sz w:val="22"/>
        </w:rPr>
      </w:pPr>
      <w:r w:rsidRPr="00A2381E">
        <w:rPr>
          <w:sz w:val="22"/>
        </w:rPr>
        <w:t>Mechanical excavation should not be used in areas</w:t>
      </w:r>
      <w:r w:rsidR="00FB693F" w:rsidRPr="00A2381E">
        <w:rPr>
          <w:sz w:val="22"/>
        </w:rPr>
        <w:t xml:space="preserve"> where minimal ground disturbance</w:t>
      </w:r>
      <w:r w:rsidRPr="00A2381E">
        <w:rPr>
          <w:sz w:val="22"/>
        </w:rPr>
        <w:t xml:space="preserve"> is planned as it has the potential to result in more disturbance and damage to Aboriginal </w:t>
      </w:r>
      <w:r w:rsidR="00A63BD6" w:rsidRPr="00A2381E">
        <w:rPr>
          <w:sz w:val="22"/>
        </w:rPr>
        <w:t xml:space="preserve">cultural </w:t>
      </w:r>
      <w:r w:rsidRPr="00A2381E">
        <w:rPr>
          <w:sz w:val="22"/>
        </w:rPr>
        <w:t xml:space="preserve">heritage than the proposed activity. Mechanical excavation can be very destructive; one scrape can completely remove small, discrete or shallow features, or </w:t>
      </w:r>
      <w:r w:rsidR="003E7E67" w:rsidRPr="00A2381E">
        <w:rPr>
          <w:sz w:val="22"/>
        </w:rPr>
        <w:t xml:space="preserve">entire </w:t>
      </w:r>
      <w:r w:rsidRPr="00A2381E">
        <w:rPr>
          <w:sz w:val="22"/>
        </w:rPr>
        <w:t xml:space="preserve">occupation deposits. </w:t>
      </w:r>
    </w:p>
    <w:p w14:paraId="0083E1A3" w14:textId="7CC2645A" w:rsidR="00862493" w:rsidRPr="00A2381E" w:rsidRDefault="00862493" w:rsidP="00862493">
      <w:pPr>
        <w:pStyle w:val="DPCbody"/>
        <w:rPr>
          <w:sz w:val="22"/>
        </w:rPr>
      </w:pPr>
      <w:r w:rsidRPr="00A2381E">
        <w:rPr>
          <w:sz w:val="22"/>
        </w:rPr>
        <w:t>If machinery is used the Regulations require that the disturbance be conducted on a detailed stratigraphic basis (Regulation 6</w:t>
      </w:r>
      <w:r w:rsidR="00F42F8C">
        <w:rPr>
          <w:sz w:val="22"/>
        </w:rPr>
        <w:t>5</w:t>
      </w:r>
      <w:r w:rsidRPr="00A2381E">
        <w:rPr>
          <w:sz w:val="22"/>
        </w:rPr>
        <w:t xml:space="preserve">(5)), i.e. the stratigraphy must be established beforehand using a Test Pit. Horizontal, as well as vertical, control should be maintained. If the use of machinery uncovers occupation deposits or features, then the deposits or features must be uncovered and assessed by controlled excavation </w:t>
      </w:r>
      <w:r w:rsidR="00E577C8" w:rsidRPr="00A2381E">
        <w:rPr>
          <w:sz w:val="22"/>
        </w:rPr>
        <w:t xml:space="preserve">using hand tools </w:t>
      </w:r>
      <w:r w:rsidRPr="00A2381E">
        <w:rPr>
          <w:sz w:val="22"/>
        </w:rPr>
        <w:t>(Regulations 6</w:t>
      </w:r>
      <w:r w:rsidR="00F42F8C">
        <w:rPr>
          <w:sz w:val="22"/>
        </w:rPr>
        <w:t>5</w:t>
      </w:r>
      <w:r w:rsidRPr="00A2381E">
        <w:rPr>
          <w:sz w:val="22"/>
        </w:rPr>
        <w:t xml:space="preserve">(6, 7)) unless in exceptional circumstances when </w:t>
      </w:r>
      <w:r w:rsidR="00E577C8" w:rsidRPr="00A2381E">
        <w:rPr>
          <w:sz w:val="22"/>
        </w:rPr>
        <w:t>might be</w:t>
      </w:r>
      <w:r w:rsidRPr="00A2381E">
        <w:rPr>
          <w:sz w:val="22"/>
        </w:rPr>
        <w:t xml:space="preserve"> unsafe to do so. All excavated deposits (100%) must be sieved.</w:t>
      </w:r>
    </w:p>
    <w:p w14:paraId="5E73DC44" w14:textId="77777777" w:rsidR="003E3D23" w:rsidRPr="00A2381E" w:rsidRDefault="003E3D23" w:rsidP="00AF73C8">
      <w:pPr>
        <w:pStyle w:val="Heading2"/>
        <w:rPr>
          <w:color w:val="0072CE"/>
        </w:rPr>
      </w:pPr>
      <w:r w:rsidRPr="00A2381E">
        <w:rPr>
          <w:color w:val="0072CE"/>
        </w:rPr>
        <w:lastRenderedPageBreak/>
        <w:t>Archaeological standards relevant to subsurface testing for CHMPs</w:t>
      </w:r>
    </w:p>
    <w:p w14:paraId="1DD6036F" w14:textId="15FE0231" w:rsidR="003E3D23" w:rsidRPr="00A2381E" w:rsidRDefault="003E3D23" w:rsidP="003E3D23">
      <w:pPr>
        <w:pStyle w:val="DPCbody"/>
        <w:rPr>
          <w:sz w:val="22"/>
        </w:rPr>
      </w:pPr>
      <w:r w:rsidRPr="00A2381E">
        <w:rPr>
          <w:sz w:val="22"/>
        </w:rPr>
        <w:t>Regulation 6</w:t>
      </w:r>
      <w:r w:rsidR="00F42F8C">
        <w:rPr>
          <w:sz w:val="22"/>
        </w:rPr>
        <w:t>5</w:t>
      </w:r>
      <w:r w:rsidRPr="00A2381E">
        <w:rPr>
          <w:sz w:val="22"/>
        </w:rPr>
        <w:t>(3) requires that subsurface testing for a complex assessment must be carried out in accordance with proper archaeological practice. This includes, but is not limited, to the following standards:</w:t>
      </w:r>
    </w:p>
    <w:p w14:paraId="364E7964" w14:textId="77777777" w:rsidR="003E3D23" w:rsidRPr="00862493" w:rsidRDefault="003E3D23" w:rsidP="00AF73C8">
      <w:pPr>
        <w:pStyle w:val="Heading3"/>
      </w:pPr>
      <w:r w:rsidRPr="00862493">
        <w:t>Subsurface testing</w:t>
      </w:r>
    </w:p>
    <w:p w14:paraId="7B93B06A" w14:textId="77777777" w:rsidR="006E7872" w:rsidRPr="00A2381E" w:rsidRDefault="006E7872" w:rsidP="003B2114">
      <w:pPr>
        <w:pStyle w:val="DPCbullet1"/>
        <w:numPr>
          <w:ilvl w:val="0"/>
          <w:numId w:val="7"/>
        </w:numPr>
        <w:rPr>
          <w:color w:val="auto"/>
          <w:sz w:val="22"/>
        </w:rPr>
      </w:pPr>
      <w:r w:rsidRPr="00A2381E">
        <w:rPr>
          <w:color w:val="auto"/>
          <w:sz w:val="22"/>
        </w:rPr>
        <w:t xml:space="preserve">Establish the subsurface nature and stratigraphy of the area manually before </w:t>
      </w:r>
      <w:r w:rsidR="00945561" w:rsidRPr="00A2381E">
        <w:rPr>
          <w:color w:val="auto"/>
          <w:sz w:val="22"/>
        </w:rPr>
        <w:t>using</w:t>
      </w:r>
      <w:r w:rsidRPr="00A2381E">
        <w:rPr>
          <w:color w:val="auto"/>
          <w:sz w:val="22"/>
        </w:rPr>
        <w:t xml:space="preserve"> any machines.</w:t>
      </w:r>
    </w:p>
    <w:p w14:paraId="6BE3D076" w14:textId="77777777" w:rsidR="00945561" w:rsidRPr="00A2381E" w:rsidRDefault="006E7872" w:rsidP="003B2114">
      <w:pPr>
        <w:pStyle w:val="DPCbullet1"/>
        <w:numPr>
          <w:ilvl w:val="0"/>
          <w:numId w:val="7"/>
        </w:numPr>
        <w:rPr>
          <w:color w:val="auto"/>
          <w:sz w:val="22"/>
        </w:rPr>
      </w:pPr>
      <w:r w:rsidRPr="00A2381E">
        <w:rPr>
          <w:color w:val="auto"/>
          <w:sz w:val="22"/>
        </w:rPr>
        <w:t xml:space="preserve">Cultural or occupation deposits must always be excavated in a controlled manner using accepted stratigraphic methods. Note that occupation deposits may be in situ, dispersed or disturbed. </w:t>
      </w:r>
    </w:p>
    <w:p w14:paraId="1DC125BF" w14:textId="77777777" w:rsidR="006E7872" w:rsidRPr="00A2381E" w:rsidRDefault="006E7872" w:rsidP="003B2114">
      <w:pPr>
        <w:pStyle w:val="DPCbullet1"/>
        <w:numPr>
          <w:ilvl w:val="0"/>
          <w:numId w:val="7"/>
        </w:numPr>
        <w:rPr>
          <w:color w:val="auto"/>
          <w:sz w:val="22"/>
        </w:rPr>
      </w:pPr>
      <w:r w:rsidRPr="00A2381E">
        <w:rPr>
          <w:color w:val="auto"/>
          <w:sz w:val="22"/>
        </w:rPr>
        <w:t xml:space="preserve">All cultural layers and any adjacent non-cultural layers/areas should be excavated manually with trowels or other small </w:t>
      </w:r>
      <w:r w:rsidR="00945561" w:rsidRPr="00A2381E">
        <w:rPr>
          <w:color w:val="auto"/>
          <w:sz w:val="22"/>
        </w:rPr>
        <w:t>tools</w:t>
      </w:r>
      <w:r w:rsidRPr="00A2381E">
        <w:rPr>
          <w:color w:val="auto"/>
          <w:sz w:val="22"/>
        </w:rPr>
        <w:t xml:space="preserve"> unless it is not practicable to do so.</w:t>
      </w:r>
    </w:p>
    <w:p w14:paraId="15D1D300" w14:textId="77777777" w:rsidR="003E3D23" w:rsidRPr="00A2381E" w:rsidRDefault="003E3D23" w:rsidP="003B2114">
      <w:pPr>
        <w:pStyle w:val="DPCbullet1"/>
        <w:numPr>
          <w:ilvl w:val="0"/>
          <w:numId w:val="7"/>
        </w:numPr>
        <w:rPr>
          <w:color w:val="auto"/>
          <w:sz w:val="22"/>
        </w:rPr>
      </w:pPr>
      <w:r w:rsidRPr="00A2381E">
        <w:rPr>
          <w:color w:val="auto"/>
          <w:sz w:val="22"/>
        </w:rPr>
        <w:t>Where machinery is used, it must be clear why it is not practicable to excavate manually</w:t>
      </w:r>
      <w:r w:rsidR="00CB2441" w:rsidRPr="00A2381E">
        <w:rPr>
          <w:color w:val="auto"/>
          <w:sz w:val="22"/>
        </w:rPr>
        <w:t>;</w:t>
      </w:r>
      <w:r w:rsidRPr="00A2381E">
        <w:rPr>
          <w:color w:val="auto"/>
          <w:sz w:val="22"/>
        </w:rPr>
        <w:t xml:space="preserve"> for health and safety reasons</w:t>
      </w:r>
      <w:r w:rsidR="00CB2441" w:rsidRPr="00A2381E">
        <w:rPr>
          <w:color w:val="auto"/>
          <w:sz w:val="22"/>
        </w:rPr>
        <w:t>,</w:t>
      </w:r>
      <w:r w:rsidRPr="00A2381E">
        <w:rPr>
          <w:color w:val="auto"/>
          <w:sz w:val="22"/>
        </w:rPr>
        <w:t xml:space="preserve"> or the impracticality of excavating a </w:t>
      </w:r>
      <w:r w:rsidR="00CB2441" w:rsidRPr="00A2381E">
        <w:rPr>
          <w:color w:val="auto"/>
          <w:sz w:val="22"/>
        </w:rPr>
        <w:t>large</w:t>
      </w:r>
      <w:r w:rsidRPr="00A2381E">
        <w:rPr>
          <w:color w:val="auto"/>
          <w:sz w:val="22"/>
        </w:rPr>
        <w:t xml:space="preserve"> metre trench entirely by hand</w:t>
      </w:r>
      <w:r w:rsidR="00CB2441" w:rsidRPr="00A2381E">
        <w:rPr>
          <w:color w:val="auto"/>
          <w:sz w:val="22"/>
        </w:rPr>
        <w:t>, for example</w:t>
      </w:r>
      <w:r w:rsidRPr="00A2381E">
        <w:rPr>
          <w:color w:val="auto"/>
          <w:sz w:val="22"/>
        </w:rPr>
        <w:t>.</w:t>
      </w:r>
    </w:p>
    <w:p w14:paraId="2D986CD6" w14:textId="05DD54E5" w:rsidR="003E3D23" w:rsidRPr="00A2381E" w:rsidRDefault="003E3D23" w:rsidP="003B2114">
      <w:pPr>
        <w:pStyle w:val="DPCbullet1"/>
        <w:numPr>
          <w:ilvl w:val="0"/>
          <w:numId w:val="7"/>
        </w:numPr>
        <w:rPr>
          <w:color w:val="auto"/>
          <w:sz w:val="22"/>
        </w:rPr>
      </w:pPr>
      <w:r w:rsidRPr="00A2381E">
        <w:rPr>
          <w:color w:val="auto"/>
          <w:sz w:val="22"/>
        </w:rPr>
        <w:t>Where appropriate, establish a site datum</w:t>
      </w:r>
      <w:r w:rsidR="00913D8C" w:rsidRPr="00A2381E">
        <w:rPr>
          <w:color w:val="auto"/>
          <w:sz w:val="22"/>
        </w:rPr>
        <w:t>. C</w:t>
      </w:r>
      <w:r w:rsidRPr="00A2381E">
        <w:rPr>
          <w:color w:val="auto"/>
          <w:sz w:val="22"/>
        </w:rPr>
        <w:t>oordinates for the datum should follow requirements for recordi</w:t>
      </w:r>
      <w:r w:rsidR="00ED0DBB" w:rsidRPr="00A2381E">
        <w:rPr>
          <w:color w:val="auto"/>
          <w:sz w:val="22"/>
        </w:rPr>
        <w:t xml:space="preserve">ng coordinates as outlined in </w:t>
      </w:r>
      <w:r w:rsidR="00F42F8C">
        <w:rPr>
          <w:color w:val="auto"/>
          <w:sz w:val="22"/>
        </w:rPr>
        <w:t>FPSR</w:t>
      </w:r>
      <w:r w:rsidRPr="00A2381E">
        <w:rPr>
          <w:color w:val="auto"/>
          <w:sz w:val="22"/>
        </w:rPr>
        <w:t>’s Standards for Recording Victorian Aborigi</w:t>
      </w:r>
      <w:r w:rsidR="00913D8C" w:rsidRPr="00A2381E">
        <w:rPr>
          <w:color w:val="auto"/>
          <w:sz w:val="22"/>
        </w:rPr>
        <w:t>nal Heritage Places and Objects</w:t>
      </w:r>
      <w:r w:rsidRPr="00A2381E">
        <w:rPr>
          <w:color w:val="auto"/>
          <w:sz w:val="22"/>
        </w:rPr>
        <w:t>.</w:t>
      </w:r>
    </w:p>
    <w:p w14:paraId="4B940C4F" w14:textId="77777777" w:rsidR="003E3D23" w:rsidRPr="00A2381E" w:rsidRDefault="003E3D23" w:rsidP="003B2114">
      <w:pPr>
        <w:pStyle w:val="DPCbullet1"/>
        <w:numPr>
          <w:ilvl w:val="0"/>
          <w:numId w:val="7"/>
        </w:numPr>
        <w:rPr>
          <w:color w:val="auto"/>
          <w:sz w:val="22"/>
        </w:rPr>
      </w:pPr>
      <w:r w:rsidRPr="00A2381E">
        <w:rPr>
          <w:color w:val="auto"/>
          <w:sz w:val="22"/>
        </w:rPr>
        <w:t>Maps showing subsurface testing should include contours to assist in determining the relationship (if any) between artefact distributions and landforms. A topographic map of the area may need to be prepared for the proposed activity area. This will assist with stratigraphic and vertical control of subsurface testing and assist in documenting landform and site formation processes.</w:t>
      </w:r>
    </w:p>
    <w:p w14:paraId="09A8FFE1" w14:textId="77777777" w:rsidR="003E3D23" w:rsidRPr="00A2381E" w:rsidRDefault="003E3D23" w:rsidP="003B2114">
      <w:pPr>
        <w:pStyle w:val="DPCbullet1"/>
        <w:numPr>
          <w:ilvl w:val="0"/>
          <w:numId w:val="7"/>
        </w:numPr>
        <w:rPr>
          <w:color w:val="auto"/>
          <w:sz w:val="22"/>
        </w:rPr>
      </w:pPr>
      <w:r w:rsidRPr="00A2381E">
        <w:rPr>
          <w:color w:val="auto"/>
          <w:sz w:val="22"/>
        </w:rPr>
        <w:t xml:space="preserve">Subsurface testing units should be linked to the site </w:t>
      </w:r>
      <w:r w:rsidR="006D6B68" w:rsidRPr="00A2381E">
        <w:rPr>
          <w:color w:val="auto"/>
          <w:sz w:val="22"/>
        </w:rPr>
        <w:t>datum (including level heights)</w:t>
      </w:r>
      <w:r w:rsidRPr="00A2381E">
        <w:rPr>
          <w:color w:val="auto"/>
          <w:sz w:val="22"/>
        </w:rPr>
        <w:t xml:space="preserve"> </w:t>
      </w:r>
      <w:r w:rsidR="006D6B68" w:rsidRPr="00A2381E">
        <w:rPr>
          <w:color w:val="auto"/>
          <w:sz w:val="22"/>
        </w:rPr>
        <w:t>and incorporated into</w:t>
      </w:r>
      <w:r w:rsidRPr="00A2381E">
        <w:rPr>
          <w:color w:val="auto"/>
          <w:sz w:val="22"/>
        </w:rPr>
        <w:t xml:space="preserve"> the site grid. Use a logical numbering system and identify all coordinates of a </w:t>
      </w:r>
      <w:r w:rsidR="0059059C" w:rsidRPr="00A2381E">
        <w:rPr>
          <w:color w:val="auto"/>
          <w:sz w:val="22"/>
        </w:rPr>
        <w:t>TP</w:t>
      </w:r>
      <w:r w:rsidRPr="00A2381E">
        <w:rPr>
          <w:color w:val="auto"/>
          <w:sz w:val="22"/>
        </w:rPr>
        <w:t xml:space="preserve"> or trench; for an auger hole or </w:t>
      </w:r>
      <w:r w:rsidR="0059059C" w:rsidRPr="00A2381E">
        <w:rPr>
          <w:color w:val="auto"/>
          <w:sz w:val="22"/>
        </w:rPr>
        <w:t>STP</w:t>
      </w:r>
      <w:r w:rsidRPr="00A2381E">
        <w:rPr>
          <w:color w:val="auto"/>
          <w:sz w:val="22"/>
        </w:rPr>
        <w:t xml:space="preserve"> one coordinate (southwest coordinate) </w:t>
      </w:r>
      <w:r w:rsidR="00EE4A74" w:rsidRPr="00A2381E">
        <w:rPr>
          <w:color w:val="auto"/>
          <w:sz w:val="22"/>
        </w:rPr>
        <w:t>is</w:t>
      </w:r>
      <w:r w:rsidRPr="00A2381E">
        <w:rPr>
          <w:color w:val="auto"/>
          <w:sz w:val="22"/>
        </w:rPr>
        <w:t xml:space="preserve"> sufficient.</w:t>
      </w:r>
    </w:p>
    <w:p w14:paraId="336D11A9" w14:textId="77777777" w:rsidR="003E3D23" w:rsidRPr="00A2381E" w:rsidRDefault="003E3D23" w:rsidP="003B2114">
      <w:pPr>
        <w:pStyle w:val="DPCbullet1"/>
        <w:numPr>
          <w:ilvl w:val="0"/>
          <w:numId w:val="7"/>
        </w:numPr>
        <w:rPr>
          <w:color w:val="auto"/>
          <w:sz w:val="22"/>
        </w:rPr>
      </w:pPr>
      <w:r w:rsidRPr="00A2381E">
        <w:rPr>
          <w:color w:val="auto"/>
          <w:sz w:val="22"/>
        </w:rPr>
        <w:t>Excavate in stratigraphic layers and/or arbitrary levels (maximum of 5 – 10cm spits) to ba</w:t>
      </w:r>
      <w:r w:rsidR="00B11882" w:rsidRPr="00A2381E">
        <w:rPr>
          <w:color w:val="auto"/>
          <w:sz w:val="22"/>
        </w:rPr>
        <w:t>se sterile layer</w:t>
      </w:r>
      <w:r w:rsidRPr="00A2381E">
        <w:rPr>
          <w:color w:val="auto"/>
          <w:sz w:val="22"/>
        </w:rPr>
        <w:t xml:space="preserve"> </w:t>
      </w:r>
      <w:r w:rsidR="00B11882" w:rsidRPr="00A2381E">
        <w:rPr>
          <w:color w:val="auto"/>
          <w:sz w:val="22"/>
        </w:rPr>
        <w:t>(</w:t>
      </w:r>
      <w:r w:rsidRPr="00A2381E">
        <w:rPr>
          <w:color w:val="auto"/>
          <w:sz w:val="22"/>
        </w:rPr>
        <w:t>i.e. layer dating to before human occupation</w:t>
      </w:r>
      <w:r w:rsidR="00B11882" w:rsidRPr="00A2381E">
        <w:rPr>
          <w:color w:val="auto"/>
          <w:sz w:val="22"/>
        </w:rPr>
        <w:t>)</w:t>
      </w:r>
      <w:r w:rsidRPr="00A2381E">
        <w:rPr>
          <w:color w:val="auto"/>
          <w:sz w:val="22"/>
        </w:rPr>
        <w:t>, or to bedrock (note: in sandy deposits, cemented ferruginous inclusions, commonly known as ‘coffee rock’, do no</w:t>
      </w:r>
      <w:r w:rsidR="00374809" w:rsidRPr="00A2381E">
        <w:rPr>
          <w:color w:val="auto"/>
          <w:sz w:val="22"/>
        </w:rPr>
        <w:t>t necessarily indicate sterile). A</w:t>
      </w:r>
      <w:r w:rsidRPr="00A2381E">
        <w:rPr>
          <w:color w:val="auto"/>
          <w:sz w:val="22"/>
        </w:rPr>
        <w:t xml:space="preserve">ny features should be excavated separately </w:t>
      </w:r>
      <w:proofErr w:type="gramStart"/>
      <w:r w:rsidRPr="00A2381E">
        <w:rPr>
          <w:color w:val="auto"/>
          <w:sz w:val="22"/>
        </w:rPr>
        <w:t>and also</w:t>
      </w:r>
      <w:proofErr w:type="gramEnd"/>
      <w:r w:rsidRPr="00A2381E">
        <w:rPr>
          <w:color w:val="auto"/>
          <w:sz w:val="22"/>
        </w:rPr>
        <w:t xml:space="preserve"> in stratigraphic layers and/or arbitrary levels.</w:t>
      </w:r>
    </w:p>
    <w:p w14:paraId="7A4B5FB3" w14:textId="77777777" w:rsidR="002B51A9" w:rsidRPr="00A2381E" w:rsidRDefault="002B51A9" w:rsidP="003B2114">
      <w:pPr>
        <w:pStyle w:val="DPCbullet1"/>
        <w:numPr>
          <w:ilvl w:val="0"/>
          <w:numId w:val="7"/>
        </w:numPr>
        <w:rPr>
          <w:color w:val="auto"/>
          <w:sz w:val="22"/>
        </w:rPr>
      </w:pPr>
      <w:r w:rsidRPr="00A2381E">
        <w:rPr>
          <w:color w:val="auto"/>
          <w:sz w:val="22"/>
        </w:rPr>
        <w:t>Do not ‘step down’</w:t>
      </w:r>
      <w:r w:rsidR="003E3D23" w:rsidRPr="00A2381E">
        <w:rPr>
          <w:color w:val="auto"/>
          <w:sz w:val="22"/>
        </w:rPr>
        <w:t xml:space="preserve"> </w:t>
      </w:r>
      <w:r w:rsidRPr="00A2381E">
        <w:rPr>
          <w:color w:val="auto"/>
          <w:sz w:val="22"/>
        </w:rPr>
        <w:t xml:space="preserve">(i.e. </w:t>
      </w:r>
      <w:r w:rsidR="003E3D23" w:rsidRPr="00A2381E">
        <w:rPr>
          <w:color w:val="auto"/>
          <w:sz w:val="22"/>
        </w:rPr>
        <w:t xml:space="preserve">diminish the size of a </w:t>
      </w:r>
      <w:r w:rsidRPr="00A2381E">
        <w:rPr>
          <w:color w:val="auto"/>
          <w:sz w:val="22"/>
        </w:rPr>
        <w:t>TP as you go down), except where</w:t>
      </w:r>
      <w:r w:rsidR="003E3D23" w:rsidRPr="00A2381E">
        <w:rPr>
          <w:color w:val="auto"/>
          <w:sz w:val="22"/>
        </w:rPr>
        <w:t xml:space="preserve">: </w:t>
      </w:r>
    </w:p>
    <w:p w14:paraId="38A35807" w14:textId="77777777" w:rsidR="002B51A9" w:rsidRPr="00A2381E" w:rsidRDefault="003E3D23" w:rsidP="003B2114">
      <w:pPr>
        <w:pStyle w:val="BodyTextIndent"/>
        <w:numPr>
          <w:ilvl w:val="0"/>
          <w:numId w:val="6"/>
        </w:numPr>
        <w:spacing w:before="0" w:after="60" w:line="300" w:lineRule="atLeast"/>
        <w:rPr>
          <w:rFonts w:asciiTheme="minorHAnsi" w:hAnsiTheme="minorHAnsi" w:cstheme="minorHAnsi"/>
          <w:sz w:val="22"/>
          <w:szCs w:val="22"/>
        </w:rPr>
      </w:pPr>
      <w:r w:rsidRPr="00A2381E">
        <w:rPr>
          <w:rFonts w:asciiTheme="minorHAnsi" w:hAnsiTheme="minorHAnsi" w:cstheme="minorHAnsi"/>
          <w:sz w:val="22"/>
          <w:szCs w:val="22"/>
        </w:rPr>
        <w:t xml:space="preserve">the excavation needs to be several metres deep (under these circumstances the base of the test pit </w:t>
      </w:r>
      <w:r w:rsidR="002B51A9" w:rsidRPr="00A2381E">
        <w:rPr>
          <w:rFonts w:asciiTheme="minorHAnsi" w:hAnsiTheme="minorHAnsi" w:cstheme="minorHAnsi"/>
          <w:sz w:val="22"/>
          <w:szCs w:val="22"/>
        </w:rPr>
        <w:t>should remain 1m x 1m);</w:t>
      </w:r>
      <w:r w:rsidRPr="00A2381E">
        <w:rPr>
          <w:rFonts w:asciiTheme="minorHAnsi" w:hAnsiTheme="minorHAnsi" w:cstheme="minorHAnsi"/>
          <w:sz w:val="22"/>
          <w:szCs w:val="22"/>
        </w:rPr>
        <w:t xml:space="preserve"> or </w:t>
      </w:r>
    </w:p>
    <w:p w14:paraId="6D74E413" w14:textId="77777777" w:rsidR="003E3D23" w:rsidRPr="00A2381E" w:rsidRDefault="003E3D23" w:rsidP="003B2114">
      <w:pPr>
        <w:pStyle w:val="BodyTextIndent"/>
        <w:numPr>
          <w:ilvl w:val="0"/>
          <w:numId w:val="6"/>
        </w:numPr>
        <w:spacing w:before="0" w:after="60" w:line="300" w:lineRule="atLeast"/>
        <w:rPr>
          <w:rFonts w:asciiTheme="minorHAnsi" w:hAnsiTheme="minorHAnsi" w:cstheme="minorHAnsi"/>
          <w:sz w:val="22"/>
          <w:szCs w:val="22"/>
        </w:rPr>
      </w:pPr>
      <w:r w:rsidRPr="00A2381E">
        <w:rPr>
          <w:rFonts w:asciiTheme="minorHAnsi" w:hAnsiTheme="minorHAnsi" w:cstheme="minorHAnsi"/>
          <w:sz w:val="22"/>
          <w:szCs w:val="22"/>
        </w:rPr>
        <w:t xml:space="preserve">you have already reached the base sterile </w:t>
      </w:r>
      <w:proofErr w:type="gramStart"/>
      <w:r w:rsidRPr="00A2381E">
        <w:rPr>
          <w:rFonts w:asciiTheme="minorHAnsi" w:hAnsiTheme="minorHAnsi" w:cstheme="minorHAnsi"/>
          <w:sz w:val="22"/>
          <w:szCs w:val="22"/>
        </w:rPr>
        <w:t>layer</w:t>
      </w:r>
      <w:proofErr w:type="gramEnd"/>
      <w:r w:rsidRPr="00A2381E">
        <w:rPr>
          <w:rFonts w:asciiTheme="minorHAnsi" w:hAnsiTheme="minorHAnsi" w:cstheme="minorHAnsi"/>
          <w:sz w:val="22"/>
          <w:szCs w:val="22"/>
        </w:rPr>
        <w:t xml:space="preserve"> and you wish to obtain a better understanding of this layer.</w:t>
      </w:r>
    </w:p>
    <w:p w14:paraId="385E9D72" w14:textId="77777777" w:rsidR="003E3D23" w:rsidRPr="00A2381E" w:rsidRDefault="003E3D23" w:rsidP="003B2114">
      <w:pPr>
        <w:pStyle w:val="DPCbullet1"/>
        <w:numPr>
          <w:ilvl w:val="0"/>
          <w:numId w:val="7"/>
        </w:numPr>
        <w:rPr>
          <w:color w:val="auto"/>
          <w:sz w:val="22"/>
        </w:rPr>
      </w:pPr>
      <w:r w:rsidRPr="00A2381E">
        <w:rPr>
          <w:color w:val="auto"/>
          <w:sz w:val="22"/>
        </w:rPr>
        <w:t>Excavate to the depth of the proposed impact</w:t>
      </w:r>
      <w:r w:rsidR="0027456C" w:rsidRPr="00A2381E">
        <w:rPr>
          <w:color w:val="auto"/>
          <w:sz w:val="22"/>
        </w:rPr>
        <w:t xml:space="preserve"> of the activity;</w:t>
      </w:r>
      <w:r w:rsidRPr="00A2381E">
        <w:rPr>
          <w:color w:val="auto"/>
          <w:sz w:val="22"/>
        </w:rPr>
        <w:t xml:space="preserve"> below any possible cultural dep</w:t>
      </w:r>
      <w:r w:rsidR="0027456C" w:rsidRPr="00A2381E">
        <w:rPr>
          <w:color w:val="auto"/>
          <w:sz w:val="22"/>
        </w:rPr>
        <w:t>osits to the base sterile layer</w:t>
      </w:r>
      <w:r w:rsidRPr="00A2381E">
        <w:rPr>
          <w:color w:val="auto"/>
          <w:sz w:val="22"/>
        </w:rPr>
        <w:t xml:space="preserve"> </w:t>
      </w:r>
      <w:r w:rsidR="0027456C" w:rsidRPr="00A2381E">
        <w:rPr>
          <w:color w:val="auto"/>
          <w:sz w:val="22"/>
        </w:rPr>
        <w:t>(</w:t>
      </w:r>
      <w:r w:rsidRPr="00A2381E">
        <w:rPr>
          <w:color w:val="auto"/>
          <w:sz w:val="22"/>
        </w:rPr>
        <w:t>i.e. layer da</w:t>
      </w:r>
      <w:r w:rsidR="0027456C" w:rsidRPr="00A2381E">
        <w:rPr>
          <w:color w:val="auto"/>
          <w:sz w:val="22"/>
        </w:rPr>
        <w:t>ting to before human occupation),</w:t>
      </w:r>
      <w:r w:rsidRPr="00A2381E">
        <w:rPr>
          <w:color w:val="auto"/>
          <w:sz w:val="22"/>
        </w:rPr>
        <w:t xml:space="preserve"> or weathered bedrock, whichever is sooner. If a cultural deposit sits on a sterile soil horizon, </w:t>
      </w:r>
      <w:r w:rsidR="0027456C" w:rsidRPr="00A2381E">
        <w:rPr>
          <w:color w:val="auto"/>
          <w:sz w:val="22"/>
        </w:rPr>
        <w:t>en</w:t>
      </w:r>
      <w:r w:rsidRPr="00A2381E">
        <w:rPr>
          <w:color w:val="auto"/>
          <w:sz w:val="22"/>
        </w:rPr>
        <w:t xml:space="preserve">sure you </w:t>
      </w:r>
      <w:proofErr w:type="gramStart"/>
      <w:r w:rsidR="0027456C" w:rsidRPr="00A2381E">
        <w:rPr>
          <w:color w:val="auto"/>
          <w:sz w:val="22"/>
        </w:rPr>
        <w:t>are able to</w:t>
      </w:r>
      <w:proofErr w:type="gramEnd"/>
      <w:r w:rsidR="0027456C" w:rsidRPr="00A2381E">
        <w:rPr>
          <w:color w:val="auto"/>
          <w:sz w:val="22"/>
        </w:rPr>
        <w:t xml:space="preserve"> show</w:t>
      </w:r>
      <w:r w:rsidRPr="00A2381E">
        <w:rPr>
          <w:color w:val="auto"/>
          <w:sz w:val="22"/>
        </w:rPr>
        <w:t xml:space="preserve"> that you have fully excavated to the sterile soil horizon.</w:t>
      </w:r>
    </w:p>
    <w:p w14:paraId="20CAF1A9" w14:textId="77777777" w:rsidR="003E3D23" w:rsidRPr="00A2381E" w:rsidRDefault="003E3D23" w:rsidP="003B2114">
      <w:pPr>
        <w:pStyle w:val="DPCbullet1"/>
        <w:numPr>
          <w:ilvl w:val="0"/>
          <w:numId w:val="7"/>
        </w:numPr>
        <w:rPr>
          <w:color w:val="auto"/>
          <w:sz w:val="22"/>
        </w:rPr>
      </w:pPr>
      <w:r w:rsidRPr="00A2381E">
        <w:rPr>
          <w:color w:val="auto"/>
          <w:sz w:val="22"/>
        </w:rPr>
        <w:t xml:space="preserve">Investigate what, if any, disturbance has occurred to the cultural place, how extensive it is and how this </w:t>
      </w:r>
      <w:r w:rsidR="005C4352" w:rsidRPr="00A2381E">
        <w:rPr>
          <w:color w:val="auto"/>
          <w:sz w:val="22"/>
        </w:rPr>
        <w:t xml:space="preserve">will </w:t>
      </w:r>
      <w:r w:rsidRPr="00A2381E">
        <w:rPr>
          <w:color w:val="auto"/>
          <w:sz w:val="22"/>
        </w:rPr>
        <w:t>affect your analysis.</w:t>
      </w:r>
    </w:p>
    <w:p w14:paraId="24A5B2AB" w14:textId="77777777" w:rsidR="003E3D23" w:rsidRPr="00A2381E" w:rsidRDefault="003E3D23" w:rsidP="003B2114">
      <w:pPr>
        <w:pStyle w:val="DPCbullet1"/>
        <w:numPr>
          <w:ilvl w:val="0"/>
          <w:numId w:val="7"/>
        </w:numPr>
        <w:rPr>
          <w:color w:val="auto"/>
          <w:sz w:val="22"/>
        </w:rPr>
      </w:pPr>
      <w:r w:rsidRPr="00A2381E">
        <w:rPr>
          <w:color w:val="auto"/>
          <w:sz w:val="22"/>
        </w:rPr>
        <w:t>If stratigraphy and/or a cultural deposit is visible in an exposure, e.g. a cliff face, manually clean back the face to properly establish the stratigraphy.</w:t>
      </w:r>
    </w:p>
    <w:p w14:paraId="03C40E89" w14:textId="77777777" w:rsidR="003E3D23" w:rsidRPr="00A2381E" w:rsidRDefault="003E3D23" w:rsidP="003B2114">
      <w:pPr>
        <w:pStyle w:val="DPCbullet1"/>
        <w:numPr>
          <w:ilvl w:val="0"/>
          <w:numId w:val="7"/>
        </w:numPr>
        <w:rPr>
          <w:color w:val="auto"/>
          <w:sz w:val="22"/>
        </w:rPr>
      </w:pPr>
      <w:r w:rsidRPr="00A2381E">
        <w:rPr>
          <w:color w:val="auto"/>
          <w:sz w:val="22"/>
        </w:rPr>
        <w:lastRenderedPageBreak/>
        <w:t>Carry out 100% sieving on all subsurface testing; sieve size should be no greater than 5mm for artefacts and midden material, augmented by a smaller sieve size for charcoal and smaller artefacts.</w:t>
      </w:r>
    </w:p>
    <w:p w14:paraId="136E4B07" w14:textId="77777777" w:rsidR="00C248A7" w:rsidRPr="00A2381E" w:rsidRDefault="00C248A7" w:rsidP="003B2114">
      <w:pPr>
        <w:pStyle w:val="DPCbullet1"/>
        <w:numPr>
          <w:ilvl w:val="0"/>
          <w:numId w:val="7"/>
        </w:numPr>
        <w:rPr>
          <w:color w:val="auto"/>
          <w:sz w:val="22"/>
        </w:rPr>
      </w:pPr>
      <w:r w:rsidRPr="00A2381E">
        <w:rPr>
          <w:color w:val="auto"/>
          <w:sz w:val="22"/>
        </w:rPr>
        <w:t>Spoil heap</w:t>
      </w:r>
      <w:r w:rsidR="004A1D29" w:rsidRPr="00A2381E">
        <w:rPr>
          <w:color w:val="auto"/>
          <w:sz w:val="22"/>
        </w:rPr>
        <w:t>s</w:t>
      </w:r>
      <w:r w:rsidRPr="00A2381E">
        <w:rPr>
          <w:color w:val="auto"/>
          <w:sz w:val="22"/>
        </w:rPr>
        <w:t xml:space="preserve"> and sieving sites should be at a reasonable distance from the testing area.</w:t>
      </w:r>
    </w:p>
    <w:p w14:paraId="09411A4C" w14:textId="77777777" w:rsidR="003E3D23" w:rsidRPr="00A2381E" w:rsidRDefault="003E3D23" w:rsidP="003B2114">
      <w:pPr>
        <w:pStyle w:val="DPCbullet1"/>
        <w:numPr>
          <w:ilvl w:val="0"/>
          <w:numId w:val="7"/>
        </w:numPr>
        <w:rPr>
          <w:color w:val="auto"/>
          <w:sz w:val="22"/>
        </w:rPr>
      </w:pPr>
      <w:r w:rsidRPr="00A2381E">
        <w:rPr>
          <w:color w:val="auto"/>
          <w:sz w:val="22"/>
        </w:rPr>
        <w:t>Take pH samples, describe soils and document Munsell colours of spits and stratigraphic layers and features.</w:t>
      </w:r>
    </w:p>
    <w:p w14:paraId="219A856A" w14:textId="77777777" w:rsidR="003E3D23" w:rsidRPr="00A2381E" w:rsidRDefault="003E3D23" w:rsidP="003B2114">
      <w:pPr>
        <w:pStyle w:val="DPCbullet1"/>
        <w:numPr>
          <w:ilvl w:val="0"/>
          <w:numId w:val="7"/>
        </w:numPr>
        <w:rPr>
          <w:color w:val="auto"/>
          <w:sz w:val="22"/>
        </w:rPr>
      </w:pPr>
      <w:r w:rsidRPr="00A2381E">
        <w:rPr>
          <w:color w:val="auto"/>
          <w:sz w:val="22"/>
        </w:rPr>
        <w:t>Where available and relevant</w:t>
      </w:r>
      <w:r w:rsidR="00C248A7" w:rsidRPr="00A2381E">
        <w:rPr>
          <w:color w:val="auto"/>
          <w:sz w:val="22"/>
        </w:rPr>
        <w:t>;</w:t>
      </w:r>
      <w:r w:rsidRPr="00A2381E">
        <w:rPr>
          <w:color w:val="auto"/>
          <w:sz w:val="22"/>
        </w:rPr>
        <w:t xml:space="preserve"> obtain dating s</w:t>
      </w:r>
      <w:r w:rsidR="00C248A7" w:rsidRPr="00A2381E">
        <w:rPr>
          <w:color w:val="auto"/>
          <w:sz w:val="22"/>
        </w:rPr>
        <w:t>amples of cultural deposits and/</w:t>
      </w:r>
      <w:r w:rsidRPr="00A2381E">
        <w:rPr>
          <w:color w:val="auto"/>
          <w:sz w:val="22"/>
        </w:rPr>
        <w:br/>
        <w:t xml:space="preserve">or stratigraphic layers. All dates must be reported to the </w:t>
      </w:r>
      <w:r w:rsidR="00C248A7" w:rsidRPr="00A2381E">
        <w:rPr>
          <w:color w:val="auto"/>
          <w:sz w:val="22"/>
        </w:rPr>
        <w:t>Victorian Aboriginal Heritage Register (</w:t>
      </w:r>
      <w:r w:rsidRPr="00A2381E">
        <w:rPr>
          <w:color w:val="auto"/>
          <w:sz w:val="22"/>
        </w:rPr>
        <w:t>VAHR</w:t>
      </w:r>
      <w:r w:rsidR="00C248A7" w:rsidRPr="00A2381E">
        <w:rPr>
          <w:color w:val="auto"/>
          <w:sz w:val="22"/>
        </w:rPr>
        <w:t>)</w:t>
      </w:r>
      <w:r w:rsidRPr="00A2381E">
        <w:rPr>
          <w:color w:val="auto"/>
          <w:sz w:val="22"/>
        </w:rPr>
        <w:t xml:space="preserve"> using the relevant approved form.</w:t>
      </w:r>
    </w:p>
    <w:p w14:paraId="3FFD0900" w14:textId="77777777" w:rsidR="003E3D23" w:rsidRPr="00A2381E" w:rsidRDefault="003E3D23" w:rsidP="003B2114">
      <w:pPr>
        <w:pStyle w:val="DPCbullet1"/>
        <w:numPr>
          <w:ilvl w:val="0"/>
          <w:numId w:val="7"/>
        </w:numPr>
        <w:rPr>
          <w:color w:val="auto"/>
          <w:sz w:val="22"/>
        </w:rPr>
      </w:pPr>
      <w:r w:rsidRPr="00A2381E">
        <w:rPr>
          <w:color w:val="auto"/>
          <w:sz w:val="22"/>
        </w:rPr>
        <w:t>The entire stratigraphic profile must be clearly visible in all photographs of subsurface testing.</w:t>
      </w:r>
      <w:r w:rsidR="004A1D29" w:rsidRPr="00A2381E">
        <w:rPr>
          <w:color w:val="auto"/>
          <w:sz w:val="22"/>
        </w:rPr>
        <w:t xml:space="preserve"> </w:t>
      </w:r>
      <w:r w:rsidRPr="00A2381E">
        <w:rPr>
          <w:color w:val="auto"/>
          <w:sz w:val="22"/>
        </w:rPr>
        <w:t>Use photographic boards and include an appropriate scale. Scale increments should be stated.</w:t>
      </w:r>
    </w:p>
    <w:p w14:paraId="694F2881" w14:textId="77777777" w:rsidR="00653094" w:rsidRPr="00A2381E" w:rsidRDefault="00653094" w:rsidP="003B2114">
      <w:pPr>
        <w:pStyle w:val="DPCbullet1"/>
        <w:numPr>
          <w:ilvl w:val="0"/>
          <w:numId w:val="7"/>
        </w:numPr>
        <w:rPr>
          <w:color w:val="auto"/>
          <w:sz w:val="22"/>
        </w:rPr>
      </w:pPr>
      <w:r w:rsidRPr="00A2381E">
        <w:rPr>
          <w:color w:val="auto"/>
          <w:sz w:val="22"/>
        </w:rPr>
        <w:t>All material recovered should be labelled/catalogued with reference to its provenance.</w:t>
      </w:r>
    </w:p>
    <w:p w14:paraId="1CD1BF19" w14:textId="77777777" w:rsidR="003E3D23" w:rsidRPr="00A2381E" w:rsidRDefault="003E3D23" w:rsidP="003B2114">
      <w:pPr>
        <w:pStyle w:val="DPCbullet1"/>
        <w:numPr>
          <w:ilvl w:val="0"/>
          <w:numId w:val="7"/>
        </w:numPr>
        <w:rPr>
          <w:color w:val="auto"/>
          <w:sz w:val="22"/>
        </w:rPr>
      </w:pPr>
      <w:r w:rsidRPr="00A2381E">
        <w:rPr>
          <w:color w:val="auto"/>
          <w:sz w:val="22"/>
        </w:rPr>
        <w:t xml:space="preserve">Any salvage excavation </w:t>
      </w:r>
      <w:r w:rsidR="004A1D29" w:rsidRPr="00A2381E">
        <w:rPr>
          <w:color w:val="auto"/>
          <w:sz w:val="22"/>
        </w:rPr>
        <w:t>may</w:t>
      </w:r>
      <w:r w:rsidRPr="00A2381E">
        <w:rPr>
          <w:color w:val="auto"/>
          <w:sz w:val="22"/>
        </w:rPr>
        <w:t xml:space="preserve"> only </w:t>
      </w:r>
      <w:r w:rsidR="004A1D29" w:rsidRPr="00A2381E">
        <w:rPr>
          <w:color w:val="auto"/>
          <w:sz w:val="22"/>
        </w:rPr>
        <w:t>be undertaken</w:t>
      </w:r>
      <w:r w:rsidRPr="00A2381E">
        <w:rPr>
          <w:color w:val="auto"/>
          <w:sz w:val="22"/>
        </w:rPr>
        <w:t xml:space="preserve"> once a </w:t>
      </w:r>
      <w:r w:rsidR="004A1D29" w:rsidRPr="00A2381E">
        <w:rPr>
          <w:color w:val="auto"/>
          <w:sz w:val="22"/>
        </w:rPr>
        <w:t>CHMP</w:t>
      </w:r>
      <w:r w:rsidRPr="00A2381E">
        <w:rPr>
          <w:color w:val="auto"/>
          <w:sz w:val="22"/>
        </w:rPr>
        <w:t xml:space="preserve"> </w:t>
      </w:r>
      <w:r w:rsidR="004A1D29" w:rsidRPr="00A2381E">
        <w:rPr>
          <w:color w:val="auto"/>
          <w:sz w:val="22"/>
        </w:rPr>
        <w:t>(</w:t>
      </w:r>
      <w:r w:rsidRPr="00A2381E">
        <w:rPr>
          <w:color w:val="auto"/>
          <w:sz w:val="22"/>
        </w:rPr>
        <w:t>which must include a detailed salvage methodology</w:t>
      </w:r>
      <w:r w:rsidR="004A1D29" w:rsidRPr="00A2381E">
        <w:rPr>
          <w:color w:val="auto"/>
          <w:sz w:val="22"/>
        </w:rPr>
        <w:t>)</w:t>
      </w:r>
      <w:r w:rsidRPr="00A2381E">
        <w:rPr>
          <w:color w:val="auto"/>
          <w:sz w:val="22"/>
        </w:rPr>
        <w:t>, has been approved.</w:t>
      </w:r>
    </w:p>
    <w:p w14:paraId="359CDA94" w14:textId="77777777" w:rsidR="00862493" w:rsidRPr="00A2381E" w:rsidRDefault="003E3D23" w:rsidP="00AF73C8">
      <w:pPr>
        <w:pStyle w:val="Heading2"/>
        <w:rPr>
          <w:color w:val="0072CE"/>
        </w:rPr>
      </w:pPr>
      <w:r w:rsidRPr="00A2381E">
        <w:rPr>
          <w:color w:val="0072CE"/>
        </w:rPr>
        <w:t>A</w:t>
      </w:r>
      <w:r w:rsidR="00862493" w:rsidRPr="00A2381E">
        <w:rPr>
          <w:color w:val="0072CE"/>
        </w:rPr>
        <w:t>nalysing and reporting on subsurface testing</w:t>
      </w:r>
    </w:p>
    <w:p w14:paraId="5D7A37F4" w14:textId="77167C3E" w:rsidR="00862493" w:rsidRPr="00A2381E" w:rsidRDefault="00862493" w:rsidP="00862493">
      <w:pPr>
        <w:pStyle w:val="DPCbody"/>
        <w:rPr>
          <w:sz w:val="22"/>
        </w:rPr>
      </w:pPr>
      <w:r w:rsidRPr="00A2381E">
        <w:rPr>
          <w:sz w:val="22"/>
        </w:rPr>
        <w:t xml:space="preserve">There are </w:t>
      </w:r>
      <w:r w:rsidR="00F82947" w:rsidRPr="00A2381E">
        <w:rPr>
          <w:sz w:val="22"/>
        </w:rPr>
        <w:t>several</w:t>
      </w:r>
      <w:r w:rsidRPr="00A2381E">
        <w:rPr>
          <w:sz w:val="22"/>
        </w:rPr>
        <w:t xml:space="preserve"> principles that should be followed when analysing and r</w:t>
      </w:r>
      <w:r w:rsidR="00A6579E" w:rsidRPr="00A2381E">
        <w:rPr>
          <w:sz w:val="22"/>
        </w:rPr>
        <w:t>eporting on subsurface testing t</w:t>
      </w:r>
      <w:r w:rsidR="00CF1A5E" w:rsidRPr="00A2381E">
        <w:rPr>
          <w:sz w:val="22"/>
        </w:rPr>
        <w:t>o</w:t>
      </w:r>
      <w:r w:rsidRPr="00A2381E">
        <w:rPr>
          <w:sz w:val="22"/>
        </w:rPr>
        <w:t xml:space="preserve"> accord with</w:t>
      </w:r>
      <w:r w:rsidR="00CF1A5E" w:rsidRPr="00A2381E">
        <w:rPr>
          <w:sz w:val="22"/>
        </w:rPr>
        <w:t xml:space="preserve"> proper archaeological practice:</w:t>
      </w:r>
      <w:r w:rsidRPr="00A2381E">
        <w:rPr>
          <w:sz w:val="22"/>
        </w:rPr>
        <w:t xml:space="preserve"> </w:t>
      </w:r>
    </w:p>
    <w:p w14:paraId="34C183D4" w14:textId="77777777" w:rsidR="00862493" w:rsidRPr="00A2381E" w:rsidRDefault="00862493" w:rsidP="00AF73C8">
      <w:pPr>
        <w:pStyle w:val="DPCbody"/>
        <w:rPr>
          <w:sz w:val="22"/>
        </w:rPr>
      </w:pPr>
      <w:r w:rsidRPr="00A2381E">
        <w:rPr>
          <w:sz w:val="22"/>
        </w:rPr>
        <w:t xml:space="preserve">Information should be </w:t>
      </w:r>
      <w:r w:rsidR="002F24B1" w:rsidRPr="00A2381E">
        <w:rPr>
          <w:sz w:val="22"/>
        </w:rPr>
        <w:t>collected</w:t>
      </w:r>
      <w:r w:rsidRPr="00A2381E">
        <w:rPr>
          <w:sz w:val="22"/>
        </w:rPr>
        <w:t xml:space="preserve"> in a controlled manner useful for analysis. This means that you should quantify results using appropriate spatial control (e.g. stratigraphic control, calculating artefact densities per area tested, and measuring any variation across the area of impact). </w:t>
      </w:r>
    </w:p>
    <w:p w14:paraId="7EEB1CFA" w14:textId="77777777" w:rsidR="00862493" w:rsidRPr="00A2381E" w:rsidRDefault="00862493" w:rsidP="003B2114">
      <w:pPr>
        <w:pStyle w:val="DPCbullet1"/>
        <w:numPr>
          <w:ilvl w:val="0"/>
          <w:numId w:val="7"/>
        </w:numPr>
        <w:rPr>
          <w:color w:val="auto"/>
          <w:sz w:val="22"/>
        </w:rPr>
      </w:pPr>
      <w:r w:rsidRPr="00A2381E">
        <w:rPr>
          <w:color w:val="auto"/>
          <w:sz w:val="22"/>
        </w:rPr>
        <w:t xml:space="preserve">Results must be properly documented and reported in the </w:t>
      </w:r>
      <w:r w:rsidR="00CF1A5E" w:rsidRPr="00A2381E">
        <w:rPr>
          <w:color w:val="auto"/>
          <w:sz w:val="22"/>
        </w:rPr>
        <w:t>CHMP</w:t>
      </w:r>
      <w:r w:rsidRPr="00A2381E">
        <w:rPr>
          <w:color w:val="auto"/>
          <w:sz w:val="22"/>
        </w:rPr>
        <w:t xml:space="preserve">. This means the reader or user of the </w:t>
      </w:r>
      <w:r w:rsidR="00CF1A5E" w:rsidRPr="00A2381E">
        <w:rPr>
          <w:color w:val="auto"/>
          <w:sz w:val="22"/>
        </w:rPr>
        <w:t>report</w:t>
      </w:r>
      <w:r w:rsidRPr="00A2381E">
        <w:rPr>
          <w:color w:val="auto"/>
          <w:sz w:val="22"/>
        </w:rPr>
        <w:t xml:space="preserve"> has sufficient detailed information to reconstruct what happened and why, as well as to understand how the conclusions and recommendations were reached.</w:t>
      </w:r>
    </w:p>
    <w:p w14:paraId="1CC38F2B" w14:textId="77777777" w:rsidR="00CD3FCB" w:rsidRPr="0091146B" w:rsidRDefault="00CD3FCB" w:rsidP="00AF73C8">
      <w:pPr>
        <w:pStyle w:val="Heading3"/>
      </w:pPr>
      <w:r w:rsidRPr="00862493">
        <w:t>Reporting</w:t>
      </w:r>
      <w:r>
        <w:t xml:space="preserve"> in a CHMP</w:t>
      </w:r>
    </w:p>
    <w:p w14:paraId="15583147" w14:textId="77777777" w:rsidR="00CD3FCB" w:rsidRPr="00A2381E" w:rsidRDefault="00CD3FCB" w:rsidP="003B2114">
      <w:pPr>
        <w:pStyle w:val="DPCbullet1"/>
        <w:numPr>
          <w:ilvl w:val="0"/>
          <w:numId w:val="7"/>
        </w:numPr>
        <w:rPr>
          <w:color w:val="auto"/>
          <w:sz w:val="22"/>
        </w:rPr>
      </w:pPr>
      <w:r w:rsidRPr="00A2381E">
        <w:rPr>
          <w:color w:val="auto"/>
          <w:sz w:val="22"/>
        </w:rPr>
        <w:t xml:space="preserve">Describe how, why and what subsurface testing </w:t>
      </w:r>
      <w:r w:rsidR="000D0AEB" w:rsidRPr="00A2381E">
        <w:rPr>
          <w:color w:val="auto"/>
          <w:sz w:val="22"/>
        </w:rPr>
        <w:t>was undertaken</w:t>
      </w:r>
      <w:r w:rsidRPr="00A2381E">
        <w:rPr>
          <w:color w:val="auto"/>
          <w:sz w:val="22"/>
        </w:rPr>
        <w:t>.</w:t>
      </w:r>
    </w:p>
    <w:p w14:paraId="73671D4C" w14:textId="77777777" w:rsidR="00CD3FCB" w:rsidRPr="00A2381E" w:rsidRDefault="00CD3FCB" w:rsidP="003B2114">
      <w:pPr>
        <w:pStyle w:val="DPCbullet1"/>
        <w:numPr>
          <w:ilvl w:val="0"/>
          <w:numId w:val="7"/>
        </w:numPr>
        <w:rPr>
          <w:color w:val="auto"/>
          <w:sz w:val="22"/>
        </w:rPr>
      </w:pPr>
      <w:r w:rsidRPr="00A2381E">
        <w:rPr>
          <w:color w:val="auto"/>
          <w:sz w:val="22"/>
        </w:rPr>
        <w:t>Describe the tools, techniques and methodology used.</w:t>
      </w:r>
    </w:p>
    <w:p w14:paraId="55DBE8C4" w14:textId="77777777" w:rsidR="00CD3FCB" w:rsidRPr="00A2381E" w:rsidRDefault="00CD3FCB" w:rsidP="003B2114">
      <w:pPr>
        <w:pStyle w:val="DPCbullet1"/>
        <w:numPr>
          <w:ilvl w:val="0"/>
          <w:numId w:val="7"/>
        </w:numPr>
        <w:rPr>
          <w:color w:val="auto"/>
          <w:sz w:val="22"/>
        </w:rPr>
      </w:pPr>
      <w:r w:rsidRPr="00A2381E">
        <w:rPr>
          <w:color w:val="auto"/>
          <w:sz w:val="22"/>
        </w:rPr>
        <w:t xml:space="preserve">Ensure all information is clearly documented and is legible in the </w:t>
      </w:r>
      <w:r w:rsidR="000D0AEB" w:rsidRPr="00A2381E">
        <w:rPr>
          <w:color w:val="auto"/>
          <w:sz w:val="22"/>
        </w:rPr>
        <w:t>CHMP</w:t>
      </w:r>
      <w:r w:rsidRPr="00A2381E">
        <w:rPr>
          <w:color w:val="auto"/>
          <w:sz w:val="22"/>
        </w:rPr>
        <w:t>.</w:t>
      </w:r>
    </w:p>
    <w:p w14:paraId="707D804A" w14:textId="77777777" w:rsidR="00CD3FCB" w:rsidRPr="00A2381E" w:rsidRDefault="00CD3FCB" w:rsidP="003B2114">
      <w:pPr>
        <w:pStyle w:val="DPCbullet1"/>
        <w:numPr>
          <w:ilvl w:val="0"/>
          <w:numId w:val="7"/>
        </w:numPr>
        <w:rPr>
          <w:color w:val="auto"/>
          <w:sz w:val="22"/>
        </w:rPr>
      </w:pPr>
      <w:r w:rsidRPr="00A2381E">
        <w:rPr>
          <w:color w:val="auto"/>
          <w:sz w:val="22"/>
        </w:rPr>
        <w:t>Clearly label subsurface testing areas on maps; all plans illustrating subsurface testing should have clear legends and use symbols differentiating the different kinds of subsurface testing</w:t>
      </w:r>
      <w:r w:rsidR="002F24B1" w:rsidRPr="00A2381E">
        <w:rPr>
          <w:color w:val="auto"/>
          <w:sz w:val="22"/>
        </w:rPr>
        <w:t xml:space="preserve"> undertaken</w:t>
      </w:r>
      <w:r w:rsidRPr="00A2381E">
        <w:rPr>
          <w:color w:val="auto"/>
          <w:sz w:val="22"/>
        </w:rPr>
        <w:t xml:space="preserve">; label plans, section and stratigraphic drawings and indicate where cultural material or dating samples come from – label GPS reading locations. </w:t>
      </w:r>
    </w:p>
    <w:p w14:paraId="19AF95F7" w14:textId="77777777" w:rsidR="00CD3FCB" w:rsidRPr="00A2381E" w:rsidRDefault="00CD3FCB" w:rsidP="003B2114">
      <w:pPr>
        <w:pStyle w:val="DPCbullet1"/>
        <w:numPr>
          <w:ilvl w:val="0"/>
          <w:numId w:val="7"/>
        </w:numPr>
        <w:rPr>
          <w:color w:val="auto"/>
          <w:sz w:val="22"/>
        </w:rPr>
      </w:pPr>
      <w:r w:rsidRPr="00A2381E">
        <w:rPr>
          <w:color w:val="auto"/>
          <w:sz w:val="22"/>
        </w:rPr>
        <w:t>Use standard scales on maps, section and stratigraphic drawings – avoid vertical or horizontal exaggeration.</w:t>
      </w:r>
    </w:p>
    <w:p w14:paraId="0018DA9C" w14:textId="77777777" w:rsidR="00CD3FCB" w:rsidRPr="00A2381E" w:rsidRDefault="00CD3FCB" w:rsidP="003B2114">
      <w:pPr>
        <w:pStyle w:val="DPCbullet1"/>
        <w:numPr>
          <w:ilvl w:val="0"/>
          <w:numId w:val="7"/>
        </w:numPr>
        <w:rPr>
          <w:color w:val="auto"/>
          <w:sz w:val="22"/>
        </w:rPr>
      </w:pPr>
      <w:r w:rsidRPr="00A2381E">
        <w:rPr>
          <w:color w:val="auto"/>
          <w:sz w:val="22"/>
        </w:rPr>
        <w:t>Do not include schematic section drawings where the stratigraphy is irregular.</w:t>
      </w:r>
    </w:p>
    <w:p w14:paraId="548736C9" w14:textId="77777777" w:rsidR="00CD3FCB" w:rsidRPr="00A2381E" w:rsidRDefault="00CD3FCB" w:rsidP="003B2114">
      <w:pPr>
        <w:pStyle w:val="DPCbullet1"/>
        <w:numPr>
          <w:ilvl w:val="0"/>
          <w:numId w:val="7"/>
        </w:numPr>
        <w:rPr>
          <w:color w:val="auto"/>
          <w:sz w:val="22"/>
        </w:rPr>
      </w:pPr>
      <w:r w:rsidRPr="00A2381E">
        <w:rPr>
          <w:color w:val="auto"/>
          <w:sz w:val="22"/>
        </w:rPr>
        <w:t xml:space="preserve">Include at least one representative </w:t>
      </w:r>
      <w:r w:rsidR="002F24B1" w:rsidRPr="00A2381E">
        <w:rPr>
          <w:color w:val="auto"/>
          <w:sz w:val="22"/>
        </w:rPr>
        <w:t>TP</w:t>
      </w:r>
      <w:r w:rsidRPr="00A2381E">
        <w:rPr>
          <w:color w:val="auto"/>
          <w:sz w:val="22"/>
        </w:rPr>
        <w:t xml:space="preserve"> or trench section to scale. Include additional representative section drawings for any stratigraphic profile changes. This should include horizontal and vertical scale bars, clear labelling of layers or legend, and show vertically where artefacts were found.</w:t>
      </w:r>
    </w:p>
    <w:p w14:paraId="624DABFD" w14:textId="77777777" w:rsidR="00CD3FCB" w:rsidRPr="00A2381E" w:rsidRDefault="00CD3FCB" w:rsidP="003B2114">
      <w:pPr>
        <w:pStyle w:val="DPCbullet1"/>
        <w:numPr>
          <w:ilvl w:val="0"/>
          <w:numId w:val="7"/>
        </w:numPr>
        <w:rPr>
          <w:color w:val="auto"/>
          <w:sz w:val="22"/>
        </w:rPr>
      </w:pPr>
      <w:r w:rsidRPr="00A2381E">
        <w:rPr>
          <w:color w:val="auto"/>
          <w:sz w:val="22"/>
        </w:rPr>
        <w:t>Include all data in tables, identifying their spatial context.</w:t>
      </w:r>
    </w:p>
    <w:p w14:paraId="58CBF0C2" w14:textId="77777777" w:rsidR="00CD3FCB" w:rsidRPr="00A2381E" w:rsidRDefault="00CD3FCB" w:rsidP="003B2114">
      <w:pPr>
        <w:pStyle w:val="DPCbullet1"/>
        <w:numPr>
          <w:ilvl w:val="0"/>
          <w:numId w:val="7"/>
        </w:numPr>
        <w:rPr>
          <w:color w:val="auto"/>
          <w:sz w:val="22"/>
        </w:rPr>
      </w:pPr>
      <w:r w:rsidRPr="00A2381E">
        <w:rPr>
          <w:color w:val="auto"/>
          <w:sz w:val="22"/>
        </w:rPr>
        <w:lastRenderedPageBreak/>
        <w:t>Analyse stratigraphy and clearly describe how you have defined discrete cultural dep</w:t>
      </w:r>
      <w:r w:rsidR="00EF25FE" w:rsidRPr="00A2381E">
        <w:rPr>
          <w:color w:val="auto"/>
          <w:sz w:val="22"/>
        </w:rPr>
        <w:t>osits or layers within a site (</w:t>
      </w:r>
      <w:r w:rsidRPr="00A2381E">
        <w:rPr>
          <w:color w:val="auto"/>
          <w:sz w:val="22"/>
        </w:rPr>
        <w:t>e.g. based on stratigraphy, feature, age, variation in assemblage or landform element</w:t>
      </w:r>
      <w:r w:rsidR="00EF25FE" w:rsidRPr="00A2381E">
        <w:rPr>
          <w:color w:val="auto"/>
          <w:sz w:val="22"/>
        </w:rPr>
        <w:t>)</w:t>
      </w:r>
      <w:r w:rsidRPr="00A2381E">
        <w:rPr>
          <w:color w:val="auto"/>
          <w:sz w:val="22"/>
        </w:rPr>
        <w:t>.</w:t>
      </w:r>
    </w:p>
    <w:p w14:paraId="22E0393D" w14:textId="77777777" w:rsidR="00CD3FCB" w:rsidRPr="00A2381E" w:rsidRDefault="00CD3FCB" w:rsidP="003B2114">
      <w:pPr>
        <w:pStyle w:val="DPCbullet1"/>
        <w:numPr>
          <w:ilvl w:val="0"/>
          <w:numId w:val="7"/>
        </w:numPr>
        <w:rPr>
          <w:color w:val="auto"/>
          <w:sz w:val="22"/>
        </w:rPr>
      </w:pPr>
      <w:r w:rsidRPr="00A2381E">
        <w:rPr>
          <w:color w:val="auto"/>
          <w:sz w:val="22"/>
        </w:rPr>
        <w:t xml:space="preserve">Where appropriate, present and analyse data by defined discrete cultural deposits or components – do not lump data for the whole </w:t>
      </w:r>
      <w:r w:rsidR="002F24B1" w:rsidRPr="00A2381E">
        <w:rPr>
          <w:color w:val="auto"/>
          <w:sz w:val="22"/>
        </w:rPr>
        <w:t>Aboriginal place</w:t>
      </w:r>
      <w:r w:rsidRPr="00A2381E">
        <w:rPr>
          <w:color w:val="auto"/>
          <w:sz w:val="22"/>
        </w:rPr>
        <w:t xml:space="preserve"> or </w:t>
      </w:r>
      <w:r w:rsidR="002F24B1" w:rsidRPr="00A2381E">
        <w:rPr>
          <w:color w:val="auto"/>
          <w:sz w:val="22"/>
        </w:rPr>
        <w:t>TP</w:t>
      </w:r>
      <w:r w:rsidRPr="00A2381E">
        <w:rPr>
          <w:color w:val="auto"/>
          <w:sz w:val="22"/>
        </w:rPr>
        <w:t xml:space="preserve">. </w:t>
      </w:r>
    </w:p>
    <w:p w14:paraId="0F00AF2E" w14:textId="77777777" w:rsidR="00CD3FCB" w:rsidRPr="00A2381E" w:rsidRDefault="00CD3FCB" w:rsidP="003B2114">
      <w:pPr>
        <w:pStyle w:val="DPCbullet1"/>
        <w:numPr>
          <w:ilvl w:val="0"/>
          <w:numId w:val="7"/>
        </w:numPr>
        <w:rPr>
          <w:color w:val="auto"/>
          <w:sz w:val="22"/>
        </w:rPr>
      </w:pPr>
      <w:r w:rsidRPr="00A2381E">
        <w:rPr>
          <w:color w:val="auto"/>
          <w:sz w:val="22"/>
        </w:rPr>
        <w:t xml:space="preserve">Ensure subsurface testing areas are clearly documented on relevant </w:t>
      </w:r>
      <w:r w:rsidR="002F24B1" w:rsidRPr="00A2381E">
        <w:rPr>
          <w:color w:val="auto"/>
          <w:sz w:val="22"/>
        </w:rPr>
        <w:t>VAHR</w:t>
      </w:r>
      <w:r w:rsidRPr="00A2381E">
        <w:rPr>
          <w:color w:val="auto"/>
          <w:sz w:val="22"/>
        </w:rPr>
        <w:t xml:space="preserve"> forms.</w:t>
      </w:r>
    </w:p>
    <w:p w14:paraId="284D3F45" w14:textId="77777777" w:rsidR="00CD3FCB" w:rsidRPr="00A2381E" w:rsidRDefault="00CD3FCB" w:rsidP="003B2114">
      <w:pPr>
        <w:pStyle w:val="DPCbullet1"/>
        <w:numPr>
          <w:ilvl w:val="0"/>
          <w:numId w:val="7"/>
        </w:numPr>
        <w:rPr>
          <w:color w:val="auto"/>
          <w:sz w:val="22"/>
        </w:rPr>
      </w:pPr>
      <w:r w:rsidRPr="00A2381E">
        <w:rPr>
          <w:color w:val="auto"/>
          <w:sz w:val="22"/>
        </w:rPr>
        <w:t>Estimate predicted artefact totals for the entire activity area based on recorded artefact densiti</w:t>
      </w:r>
      <w:r w:rsidR="002F24B1" w:rsidRPr="00A2381E">
        <w:rPr>
          <w:color w:val="auto"/>
          <w:sz w:val="22"/>
        </w:rPr>
        <w:t xml:space="preserve">es and the landforms identified. </w:t>
      </w:r>
      <w:r w:rsidRPr="00A2381E">
        <w:rPr>
          <w:color w:val="auto"/>
          <w:sz w:val="22"/>
        </w:rPr>
        <w:t>Discuss past Aboriginal lifestyles and landscape utilisation in the light of these data.</w:t>
      </w:r>
    </w:p>
    <w:p w14:paraId="3680FF73" w14:textId="77777777" w:rsidR="00FC750D" w:rsidRDefault="00CD3FCB" w:rsidP="003B2114">
      <w:pPr>
        <w:pStyle w:val="DPCbullet1"/>
        <w:numPr>
          <w:ilvl w:val="0"/>
          <w:numId w:val="7"/>
        </w:numPr>
        <w:rPr>
          <w:color w:val="auto"/>
          <w:sz w:val="22"/>
        </w:rPr>
        <w:sectPr w:rsidR="00FC750D" w:rsidSect="002A5F17">
          <w:headerReference w:type="default" r:id="rId22"/>
          <w:footerReference w:type="default" r:id="rId23"/>
          <w:type w:val="continuous"/>
          <w:pgSz w:w="11906" w:h="16838" w:code="9"/>
          <w:pgMar w:top="1418" w:right="851" w:bottom="1134" w:left="1134" w:header="567" w:footer="0" w:gutter="0"/>
          <w:cols w:space="340"/>
          <w:docGrid w:linePitch="360"/>
        </w:sectPr>
      </w:pPr>
      <w:r w:rsidRPr="00A2381E">
        <w:rPr>
          <w:color w:val="auto"/>
          <w:sz w:val="22"/>
        </w:rPr>
        <w:t>All source material cited in the report must appear in the References.</w:t>
      </w:r>
    </w:p>
    <w:p w14:paraId="0DD4C043" w14:textId="77777777" w:rsidR="00862493" w:rsidRPr="00A2381E" w:rsidRDefault="0056575B" w:rsidP="00AF73C8">
      <w:pPr>
        <w:pStyle w:val="Heading2"/>
        <w:rPr>
          <w:color w:val="0072CE"/>
        </w:rPr>
      </w:pPr>
      <w:r w:rsidRPr="00A2381E">
        <w:rPr>
          <w:color w:val="0072CE"/>
        </w:rPr>
        <w:lastRenderedPageBreak/>
        <w:t>S</w:t>
      </w:r>
      <w:r w:rsidR="00862493" w:rsidRPr="00A2381E">
        <w:rPr>
          <w:color w:val="0072CE"/>
        </w:rPr>
        <w:t>cenarios:</w:t>
      </w:r>
    </w:p>
    <w:p w14:paraId="35E089E1" w14:textId="77777777" w:rsidR="00862493" w:rsidRPr="00A2381E" w:rsidRDefault="00862493" w:rsidP="00862493">
      <w:pPr>
        <w:pStyle w:val="DPCbody"/>
        <w:rPr>
          <w:sz w:val="22"/>
        </w:rPr>
      </w:pPr>
      <w:r w:rsidRPr="00A2381E">
        <w:rPr>
          <w:sz w:val="22"/>
        </w:rPr>
        <w:t xml:space="preserve">Note: these scenarios are </w:t>
      </w:r>
      <w:r w:rsidR="0056575B" w:rsidRPr="00A2381E">
        <w:rPr>
          <w:sz w:val="22"/>
        </w:rPr>
        <w:t>examples only</w:t>
      </w:r>
      <w:r w:rsidRPr="00A2381E">
        <w:rPr>
          <w:sz w:val="22"/>
        </w:rPr>
        <w:t xml:space="preserve"> and intended as a guide rather than as a template</w:t>
      </w:r>
      <w:r w:rsidR="006537A9" w:rsidRPr="00A2381E">
        <w:rPr>
          <w:sz w:val="22"/>
        </w:rPr>
        <w:t>. Subsurface testing methodologies</w:t>
      </w:r>
      <w:r w:rsidRPr="00A2381E">
        <w:rPr>
          <w:sz w:val="22"/>
        </w:rPr>
        <w:t xml:space="preserve"> should be developed for each activity area on a </w:t>
      </w:r>
      <w:proofErr w:type="gramStart"/>
      <w:r w:rsidRPr="00A2381E">
        <w:rPr>
          <w:sz w:val="22"/>
        </w:rPr>
        <w:t>case by case</w:t>
      </w:r>
      <w:proofErr w:type="gramEnd"/>
      <w:r w:rsidRPr="00A2381E">
        <w:rPr>
          <w:sz w:val="22"/>
        </w:rPr>
        <w:t xml:space="preserve"> basis</w:t>
      </w:r>
      <w:r w:rsidR="00A2381E" w:rsidRPr="00A2381E">
        <w:rPr>
          <w:sz w:val="22"/>
        </w:rPr>
        <w:t>.</w:t>
      </w:r>
    </w:p>
    <w:p w14:paraId="021657C8" w14:textId="77777777" w:rsidR="00862493" w:rsidRPr="00862493" w:rsidRDefault="00862493" w:rsidP="00AF73C8">
      <w:pPr>
        <w:pStyle w:val="Heading3"/>
      </w:pPr>
      <w:r w:rsidRPr="00862493">
        <w:t>Scenario 1:</w:t>
      </w:r>
    </w:p>
    <w:p w14:paraId="2E323B5F" w14:textId="77777777" w:rsidR="00862493" w:rsidRPr="00A2381E" w:rsidRDefault="00F013AF" w:rsidP="00862493">
      <w:pPr>
        <w:pStyle w:val="DPCbody"/>
        <w:rPr>
          <w:sz w:val="22"/>
        </w:rPr>
      </w:pPr>
      <w:r w:rsidRPr="00A2381E">
        <w:rPr>
          <w:sz w:val="22"/>
        </w:rPr>
        <w:t>An</w:t>
      </w:r>
      <w:r w:rsidR="00862493" w:rsidRPr="00A2381E">
        <w:rPr>
          <w:sz w:val="22"/>
        </w:rPr>
        <w:t xml:space="preserve"> activity area </w:t>
      </w:r>
      <w:proofErr w:type="gramStart"/>
      <w:r w:rsidR="00862493" w:rsidRPr="00A2381E">
        <w:rPr>
          <w:sz w:val="22"/>
        </w:rPr>
        <w:t>is located in</w:t>
      </w:r>
      <w:proofErr w:type="gramEnd"/>
      <w:r w:rsidR="00862493" w:rsidRPr="00A2381E">
        <w:rPr>
          <w:sz w:val="22"/>
        </w:rPr>
        <w:t xml:space="preserve"> a region where previous fieldwork has identified shallow deposits and most Aboriginal cultural heritage occurs as surface a</w:t>
      </w:r>
      <w:r w:rsidR="001A649E" w:rsidRPr="00A2381E">
        <w:rPr>
          <w:sz w:val="22"/>
        </w:rPr>
        <w:t>rtefact scatters. An intensive standard a</w:t>
      </w:r>
      <w:r w:rsidR="00862493" w:rsidRPr="00A2381E">
        <w:rPr>
          <w:sz w:val="22"/>
        </w:rPr>
        <w:t>ssessment, with every effort made to maximise ground surface visibility, is likely to be mor</w:t>
      </w:r>
      <w:r w:rsidR="001A649E" w:rsidRPr="00A2381E">
        <w:rPr>
          <w:sz w:val="22"/>
        </w:rPr>
        <w:t>e effective than a perfunctory standard a</w:t>
      </w:r>
      <w:r w:rsidR="00862493" w:rsidRPr="00A2381E">
        <w:rPr>
          <w:sz w:val="22"/>
        </w:rPr>
        <w:t>ssessment of land with low surface visibility prior to subsurface testing. Surveying the activity area during drier conditions when less vegetation is present, should be considered. A manual auger may be useful to</w:t>
      </w:r>
      <w:r w:rsidR="001A649E" w:rsidRPr="00A2381E">
        <w:rPr>
          <w:sz w:val="22"/>
        </w:rPr>
        <w:t xml:space="preserve"> test the depth of the deposits</w:t>
      </w:r>
      <w:r w:rsidR="00862493" w:rsidRPr="00A2381E">
        <w:rPr>
          <w:sz w:val="22"/>
        </w:rPr>
        <w:t>. Any landforms which are likely to consist of deeper, potentially artefact-b</w:t>
      </w:r>
      <w:r w:rsidR="001A649E" w:rsidRPr="00A2381E">
        <w:rPr>
          <w:sz w:val="22"/>
        </w:rPr>
        <w:t>earing deposits should undergo complex a</w:t>
      </w:r>
      <w:r w:rsidR="00862493" w:rsidRPr="00A2381E">
        <w:rPr>
          <w:sz w:val="22"/>
        </w:rPr>
        <w:t>ssessment.</w:t>
      </w:r>
    </w:p>
    <w:p w14:paraId="6986F73D" w14:textId="77777777" w:rsidR="00307F1A" w:rsidRPr="00307F1A" w:rsidRDefault="00307F1A" w:rsidP="003C315F">
      <w:pPr>
        <w:pStyle w:val="Heading3"/>
      </w:pPr>
      <w:r w:rsidRPr="00307F1A">
        <w:t>Scenario 2:</w:t>
      </w:r>
    </w:p>
    <w:p w14:paraId="79C7BEB1" w14:textId="70B2131D" w:rsidR="00307F1A" w:rsidRPr="003C315F" w:rsidRDefault="00307F1A" w:rsidP="00307F1A">
      <w:pPr>
        <w:pStyle w:val="DPCbody"/>
        <w:rPr>
          <w:sz w:val="22"/>
        </w:rPr>
      </w:pPr>
      <w:r w:rsidRPr="003C315F">
        <w:rPr>
          <w:sz w:val="22"/>
        </w:rPr>
        <w:t xml:space="preserve">A large activity area includes plain and riverbank landforms. </w:t>
      </w:r>
      <w:r w:rsidR="00A04049">
        <w:rPr>
          <w:sz w:val="22"/>
        </w:rPr>
        <w:t xml:space="preserve">The predictive model </w:t>
      </w:r>
      <w:r w:rsidR="00C415EC">
        <w:rPr>
          <w:sz w:val="22"/>
        </w:rPr>
        <w:t>indicates the river</w:t>
      </w:r>
      <w:r w:rsidR="00E12883">
        <w:rPr>
          <w:sz w:val="22"/>
        </w:rPr>
        <w:t xml:space="preserve">bank landform </w:t>
      </w:r>
      <w:r w:rsidR="00943D70">
        <w:rPr>
          <w:sz w:val="22"/>
        </w:rPr>
        <w:t>is</w:t>
      </w:r>
      <w:r w:rsidR="00E12883">
        <w:rPr>
          <w:sz w:val="22"/>
        </w:rPr>
        <w:t xml:space="preserve"> </w:t>
      </w:r>
      <w:r w:rsidR="00D07244">
        <w:rPr>
          <w:sz w:val="22"/>
        </w:rPr>
        <w:t xml:space="preserve">most sensitive to </w:t>
      </w:r>
      <w:r w:rsidR="001E567A">
        <w:rPr>
          <w:sz w:val="22"/>
        </w:rPr>
        <w:t>stone artefact scatters, with low</w:t>
      </w:r>
      <w:r w:rsidR="00943D70">
        <w:rPr>
          <w:sz w:val="22"/>
        </w:rPr>
        <w:t>er</w:t>
      </w:r>
      <w:r w:rsidR="001E567A">
        <w:rPr>
          <w:sz w:val="22"/>
        </w:rPr>
        <w:t xml:space="preserve"> </w:t>
      </w:r>
      <w:r w:rsidR="00D60F4D">
        <w:rPr>
          <w:sz w:val="22"/>
        </w:rPr>
        <w:t xml:space="preserve">archaeological sensitivity on the </w:t>
      </w:r>
      <w:r w:rsidR="00943D70">
        <w:rPr>
          <w:sz w:val="22"/>
        </w:rPr>
        <w:t>plain</w:t>
      </w:r>
      <w:r w:rsidR="00723065">
        <w:rPr>
          <w:sz w:val="22"/>
        </w:rPr>
        <w:t xml:space="preserve">. </w:t>
      </w:r>
      <w:r w:rsidRPr="003C315F">
        <w:rPr>
          <w:sz w:val="22"/>
        </w:rPr>
        <w:t>Subsurface testing should focus on the areas of highest sensitivity, with less intensive testing elsewhere. Intervals between TPs should range between 25-50m in the areas of highest sensitivity. Intervals between TPs in less sensitive areas should be around 100m, where practical.</w:t>
      </w:r>
    </w:p>
    <w:p w14:paraId="3B6677BA" w14:textId="2C2C509B" w:rsidR="00862493" w:rsidRPr="00862493" w:rsidRDefault="00862493" w:rsidP="00AF73C8">
      <w:pPr>
        <w:pStyle w:val="Heading3"/>
      </w:pPr>
      <w:r w:rsidRPr="00862493">
        <w:t xml:space="preserve">Scenario </w:t>
      </w:r>
      <w:r w:rsidR="00307F1A">
        <w:t>3</w:t>
      </w:r>
      <w:r w:rsidRPr="00862493">
        <w:t>:</w:t>
      </w:r>
    </w:p>
    <w:p w14:paraId="650BF6F4" w14:textId="19EF91CE" w:rsidR="00862493" w:rsidRPr="00A2381E" w:rsidRDefault="00862493" w:rsidP="00862493">
      <w:pPr>
        <w:pStyle w:val="DPCbody"/>
        <w:rPr>
          <w:sz w:val="22"/>
        </w:rPr>
      </w:pPr>
      <w:r w:rsidRPr="00A2381E">
        <w:rPr>
          <w:sz w:val="22"/>
        </w:rPr>
        <w:t xml:space="preserve">A large activity area includes </w:t>
      </w:r>
      <w:r w:rsidR="00F013AF" w:rsidRPr="00A2381E">
        <w:rPr>
          <w:sz w:val="22"/>
        </w:rPr>
        <w:t xml:space="preserve">several distinct landforms (e.g. </w:t>
      </w:r>
      <w:r w:rsidRPr="00A2381E">
        <w:rPr>
          <w:sz w:val="22"/>
        </w:rPr>
        <w:t>dunes)</w:t>
      </w:r>
      <w:r w:rsidR="00F013AF" w:rsidRPr="00A2381E">
        <w:rPr>
          <w:sz w:val="22"/>
        </w:rPr>
        <w:t>,</w:t>
      </w:r>
      <w:r w:rsidRPr="00A2381E">
        <w:rPr>
          <w:sz w:val="22"/>
        </w:rPr>
        <w:t xml:space="preserve"> which have been associated with Aboriginal cultural heritage elsewhere in the region. Subsurface testing should be sufficient to determine whether a </w:t>
      </w:r>
      <w:r w:rsidR="00F82947" w:rsidRPr="00A2381E">
        <w:rPr>
          <w:sz w:val="22"/>
        </w:rPr>
        <w:t>landform-based</w:t>
      </w:r>
      <w:r w:rsidRPr="00A2381E">
        <w:rPr>
          <w:sz w:val="22"/>
        </w:rPr>
        <w:t xml:space="preserve"> approach to registering Aboriginal places is appropriate. Each discrete part of a landform element (in this case, each dune) should be tested using at least one 1 x 1m </w:t>
      </w:r>
      <w:r w:rsidR="00F013AF" w:rsidRPr="00A2381E">
        <w:rPr>
          <w:sz w:val="22"/>
        </w:rPr>
        <w:t>TP</w:t>
      </w:r>
      <w:r w:rsidRPr="00A2381E">
        <w:rPr>
          <w:sz w:val="22"/>
        </w:rPr>
        <w:t xml:space="preserve">, as well as </w:t>
      </w:r>
      <w:r w:rsidR="00F013AF" w:rsidRPr="00A2381E">
        <w:rPr>
          <w:sz w:val="22"/>
        </w:rPr>
        <w:t>STPs if appropriate. Manual augering</w:t>
      </w:r>
      <w:r w:rsidRPr="00A2381E">
        <w:rPr>
          <w:sz w:val="22"/>
        </w:rPr>
        <w:t xml:space="preserve"> may be useful to minimise harm during testing of the extent of a shell midden. Mechanical testing should be considered in the methodology and may be appropriate where the depth of deposits is likely to exceed that safe to excavate manually, but it should only be employed </w:t>
      </w:r>
      <w:r w:rsidR="00F013AF" w:rsidRPr="00A2381E">
        <w:rPr>
          <w:sz w:val="22"/>
        </w:rPr>
        <w:t>in</w:t>
      </w:r>
      <w:r w:rsidRPr="00A2381E">
        <w:rPr>
          <w:sz w:val="22"/>
        </w:rPr>
        <w:t xml:space="preserve"> sensitive landforms </w:t>
      </w:r>
      <w:r w:rsidR="00E953F2" w:rsidRPr="00A2381E">
        <w:rPr>
          <w:sz w:val="22"/>
        </w:rPr>
        <w:t>if</w:t>
      </w:r>
      <w:r w:rsidRPr="00A2381E">
        <w:rPr>
          <w:sz w:val="22"/>
        </w:rPr>
        <w:t xml:space="preserve"> these levels are reached. Appropriate mechanical testing techniques include using a mud bucket to remove a spit of an appropriate depth for the length of the trench. At the completion of each mechanically excavated spit an additional 25cm on each side of the trench </w:t>
      </w:r>
      <w:r w:rsidR="00F013AF" w:rsidRPr="00A2381E">
        <w:rPr>
          <w:sz w:val="22"/>
        </w:rPr>
        <w:t>may be</w:t>
      </w:r>
      <w:r w:rsidRPr="00A2381E">
        <w:rPr>
          <w:sz w:val="22"/>
        </w:rPr>
        <w:t xml:space="preserve"> manually excavated to expose a clean section and to prevent the displacement of artefacts between spits.</w:t>
      </w:r>
    </w:p>
    <w:p w14:paraId="170DED6C" w14:textId="67E6B8A3" w:rsidR="00862493" w:rsidRPr="00862493" w:rsidRDefault="00862493" w:rsidP="00AF73C8">
      <w:pPr>
        <w:pStyle w:val="Heading3"/>
      </w:pPr>
      <w:r w:rsidRPr="00862493">
        <w:t xml:space="preserve">Scenario </w:t>
      </w:r>
      <w:r w:rsidR="00307F1A">
        <w:t>4</w:t>
      </w:r>
      <w:r w:rsidRPr="00862493">
        <w:t>:</w:t>
      </w:r>
    </w:p>
    <w:p w14:paraId="0C5A089A" w14:textId="36375AF4" w:rsidR="00862493" w:rsidRPr="00A2381E" w:rsidRDefault="00862493" w:rsidP="00862493">
      <w:pPr>
        <w:pStyle w:val="DPCbody"/>
        <w:rPr>
          <w:sz w:val="22"/>
        </w:rPr>
      </w:pPr>
      <w:r w:rsidRPr="009D6396">
        <w:rPr>
          <w:sz w:val="22"/>
        </w:rPr>
        <w:t xml:space="preserve">The activity area is uniform with no distinctive landform features or results </w:t>
      </w:r>
      <w:r w:rsidR="00B131B1">
        <w:rPr>
          <w:sz w:val="22"/>
        </w:rPr>
        <w:t xml:space="preserve">identified during </w:t>
      </w:r>
      <w:r w:rsidRPr="009D6396">
        <w:rPr>
          <w:sz w:val="22"/>
        </w:rPr>
        <w:t xml:space="preserve">the Standard Assessment to guide the </w:t>
      </w:r>
      <w:r w:rsidR="00F013AF" w:rsidRPr="009D6396">
        <w:rPr>
          <w:sz w:val="22"/>
        </w:rPr>
        <w:t xml:space="preserve">subsurface </w:t>
      </w:r>
      <w:r w:rsidRPr="009D6396">
        <w:rPr>
          <w:sz w:val="22"/>
        </w:rPr>
        <w:t xml:space="preserve">testing. </w:t>
      </w:r>
      <w:r w:rsidR="00903BE1">
        <w:rPr>
          <w:sz w:val="22"/>
        </w:rPr>
        <w:t>Use the</w:t>
      </w:r>
      <w:r w:rsidR="00964BBB" w:rsidRPr="009D6396">
        <w:rPr>
          <w:sz w:val="22"/>
        </w:rPr>
        <w:t xml:space="preserve"> predictive model </w:t>
      </w:r>
      <w:r w:rsidR="00903BE1">
        <w:rPr>
          <w:sz w:val="22"/>
        </w:rPr>
        <w:t xml:space="preserve">developed during the desktop </w:t>
      </w:r>
      <w:r w:rsidR="00BC4436">
        <w:rPr>
          <w:sz w:val="22"/>
        </w:rPr>
        <w:t>based on what</w:t>
      </w:r>
      <w:r w:rsidR="00964BBB" w:rsidRPr="009D6396">
        <w:rPr>
          <w:sz w:val="22"/>
        </w:rPr>
        <w:t xml:space="preserve"> </w:t>
      </w:r>
      <w:r w:rsidR="00964BBB" w:rsidRPr="003C315F">
        <w:rPr>
          <w:sz w:val="22"/>
          <w:u w:val="single"/>
        </w:rPr>
        <w:t>is</w:t>
      </w:r>
      <w:r w:rsidR="00964BBB" w:rsidRPr="009D6396">
        <w:rPr>
          <w:sz w:val="22"/>
        </w:rPr>
        <w:t xml:space="preserve"> </w:t>
      </w:r>
      <w:r w:rsidR="00986524" w:rsidRPr="009D6396">
        <w:rPr>
          <w:sz w:val="22"/>
        </w:rPr>
        <w:t>known and</w:t>
      </w:r>
      <w:r w:rsidR="00964BBB" w:rsidRPr="009D6396">
        <w:rPr>
          <w:sz w:val="22"/>
        </w:rPr>
        <w:t xml:space="preserve"> </w:t>
      </w:r>
      <w:r w:rsidR="00986524" w:rsidRPr="009D6396">
        <w:rPr>
          <w:sz w:val="22"/>
        </w:rPr>
        <w:t>then limit any ‘grid’ approach in a way that tests that model most effici</w:t>
      </w:r>
      <w:r w:rsidR="005855BC" w:rsidRPr="003C315F">
        <w:rPr>
          <w:sz w:val="22"/>
        </w:rPr>
        <w:t>ently</w:t>
      </w:r>
      <w:r w:rsidR="003F71CB">
        <w:rPr>
          <w:sz w:val="22"/>
        </w:rPr>
        <w:t xml:space="preserve">. It must be </w:t>
      </w:r>
      <w:r w:rsidRPr="009D6396">
        <w:rPr>
          <w:sz w:val="22"/>
        </w:rPr>
        <w:t>sufficient to assess the distribution and density of artefacts (if any) across the activity ar</w:t>
      </w:r>
      <w:r w:rsidR="001A649E" w:rsidRPr="009D6396">
        <w:rPr>
          <w:sz w:val="22"/>
        </w:rPr>
        <w:t>ea</w:t>
      </w:r>
      <w:r w:rsidR="00207E06" w:rsidRPr="003C315F">
        <w:rPr>
          <w:sz w:val="22"/>
        </w:rPr>
        <w:t xml:space="preserve">. </w:t>
      </w:r>
      <w:r w:rsidR="001A649E" w:rsidRPr="009D6396">
        <w:rPr>
          <w:sz w:val="22"/>
        </w:rPr>
        <w:t xml:space="preserve"> </w:t>
      </w:r>
      <w:r w:rsidRPr="009D6396">
        <w:rPr>
          <w:sz w:val="22"/>
        </w:rPr>
        <w:t xml:space="preserve">Mechanical testing may be appropriate to maximise the area of deposits testing on landforms with predicted low density artefact distributions. Mechanical testing, however, should revert to </w:t>
      </w:r>
      <w:r w:rsidR="00F013AF" w:rsidRPr="009D6396">
        <w:rPr>
          <w:sz w:val="22"/>
        </w:rPr>
        <w:t>controlled manual</w:t>
      </w:r>
      <w:r w:rsidRPr="009D6396">
        <w:rPr>
          <w:sz w:val="22"/>
        </w:rPr>
        <w:t xml:space="preserve"> excavation if features or concentrations of artefacts are encountered.</w:t>
      </w:r>
    </w:p>
    <w:p w14:paraId="7508B08B" w14:textId="64BF79FD" w:rsidR="00862493" w:rsidRPr="00862493" w:rsidRDefault="00862493" w:rsidP="00AF73C8">
      <w:pPr>
        <w:pStyle w:val="Heading3"/>
      </w:pPr>
      <w:r w:rsidRPr="00862493">
        <w:lastRenderedPageBreak/>
        <w:t xml:space="preserve">Scenario </w:t>
      </w:r>
      <w:r w:rsidR="00307F1A">
        <w:t>5</w:t>
      </w:r>
      <w:r w:rsidRPr="00862493">
        <w:t>:</w:t>
      </w:r>
    </w:p>
    <w:p w14:paraId="52196B26" w14:textId="1827D6A8" w:rsidR="00103E86" w:rsidRPr="001342D1" w:rsidRDefault="00F013AF" w:rsidP="00862493">
      <w:pPr>
        <w:pStyle w:val="DPCbody"/>
        <w:rPr>
          <w:sz w:val="22"/>
        </w:rPr>
      </w:pPr>
      <w:r w:rsidRPr="00380303">
        <w:rPr>
          <w:sz w:val="22"/>
        </w:rPr>
        <w:t>An</w:t>
      </w:r>
      <w:r w:rsidR="00862493" w:rsidRPr="00380303">
        <w:rPr>
          <w:sz w:val="22"/>
        </w:rPr>
        <w:t xml:space="preserve"> activity area includes an area of cultural sensitivity but is in an urban context and has had a dwelling and driveway on it for </w:t>
      </w:r>
      <w:r w:rsidR="003D0274" w:rsidRPr="00380303">
        <w:rPr>
          <w:sz w:val="22"/>
        </w:rPr>
        <w:t>many years</w:t>
      </w:r>
      <w:r w:rsidR="00862493" w:rsidRPr="00380303">
        <w:rPr>
          <w:sz w:val="22"/>
        </w:rPr>
        <w:t xml:space="preserve">. The dwelling is on stumps set into c.300mm of levelling fill and the driveway impacted </w:t>
      </w:r>
      <w:r w:rsidR="003D0274" w:rsidRPr="00380303">
        <w:rPr>
          <w:sz w:val="22"/>
        </w:rPr>
        <w:t xml:space="preserve">to </w:t>
      </w:r>
      <w:r w:rsidR="00862493" w:rsidRPr="00380303">
        <w:rPr>
          <w:sz w:val="22"/>
        </w:rPr>
        <w:t>a similar depth. A CHMP is required because the whole of the activity area has not been impacted by significant ground disturbance and the proposed impact wil</w:t>
      </w:r>
      <w:r w:rsidR="001A649E" w:rsidRPr="00380303">
        <w:rPr>
          <w:sz w:val="22"/>
        </w:rPr>
        <w:t>l extend to 1.5m in depth. The desktop a</w:t>
      </w:r>
      <w:r w:rsidR="00862493" w:rsidRPr="00380303">
        <w:rPr>
          <w:sz w:val="22"/>
        </w:rPr>
        <w:t>ssessment shows that few CHMPs have been unde</w:t>
      </w:r>
      <w:r w:rsidR="001C07D9" w:rsidRPr="00380303">
        <w:rPr>
          <w:sz w:val="22"/>
        </w:rPr>
        <w:t>rtaken in the geographic region, and</w:t>
      </w:r>
      <w:r w:rsidR="00862493" w:rsidRPr="00380303">
        <w:rPr>
          <w:sz w:val="22"/>
        </w:rPr>
        <w:t xml:space="preserve"> most </w:t>
      </w:r>
      <w:r w:rsidR="001C07D9" w:rsidRPr="00380303">
        <w:rPr>
          <w:sz w:val="22"/>
        </w:rPr>
        <w:t>were limited to</w:t>
      </w:r>
      <w:r w:rsidR="009C23F3" w:rsidRPr="00380303">
        <w:rPr>
          <w:sz w:val="22"/>
        </w:rPr>
        <w:t xml:space="preserve"> a</w:t>
      </w:r>
      <w:r w:rsidR="001A649E" w:rsidRPr="00380303">
        <w:rPr>
          <w:sz w:val="22"/>
        </w:rPr>
        <w:t xml:space="preserve"> standard a</w:t>
      </w:r>
      <w:r w:rsidR="00862493" w:rsidRPr="00380303">
        <w:rPr>
          <w:sz w:val="22"/>
        </w:rPr>
        <w:t xml:space="preserve">ssessment, but by considering the existing </w:t>
      </w:r>
      <w:r w:rsidR="009C23F3" w:rsidRPr="001342D1">
        <w:rPr>
          <w:sz w:val="22"/>
        </w:rPr>
        <w:t>reports</w:t>
      </w:r>
      <w:r w:rsidR="00862493" w:rsidRPr="001342D1">
        <w:rPr>
          <w:sz w:val="22"/>
        </w:rPr>
        <w:t xml:space="preserve"> and prior landforms present, on balance it is likely subsurface Aboriginal cultural heritage </w:t>
      </w:r>
      <w:r w:rsidR="00815028" w:rsidRPr="001342D1">
        <w:rPr>
          <w:sz w:val="22"/>
        </w:rPr>
        <w:t>is</w:t>
      </w:r>
      <w:r w:rsidR="00862493" w:rsidRPr="001342D1">
        <w:rPr>
          <w:sz w:val="22"/>
        </w:rPr>
        <w:t xml:space="preserve"> present. A mechanical excavator </w:t>
      </w:r>
      <w:r w:rsidR="00D94E94" w:rsidRPr="001342D1">
        <w:rPr>
          <w:sz w:val="22"/>
        </w:rPr>
        <w:t>may</w:t>
      </w:r>
      <w:r w:rsidR="00862493" w:rsidRPr="001342D1">
        <w:rPr>
          <w:sz w:val="22"/>
        </w:rPr>
        <w:t xml:space="preserve"> be used to remove the established depth of fill and driveway, prior to normal subsurface testing commencing</w:t>
      </w:r>
      <w:r w:rsidR="007D0A10" w:rsidRPr="001342D1">
        <w:rPr>
          <w:sz w:val="22"/>
        </w:rPr>
        <w:t>.</w:t>
      </w:r>
    </w:p>
    <w:p w14:paraId="09442418" w14:textId="46620AF4" w:rsidR="00F75F3B" w:rsidRPr="001342D1" w:rsidRDefault="005A6333" w:rsidP="005A6333">
      <w:pPr>
        <w:pStyle w:val="Heading3"/>
        <w:rPr>
          <w:color w:val="000000" w:themeColor="text1"/>
        </w:rPr>
      </w:pPr>
      <w:r w:rsidRPr="001342D1">
        <w:rPr>
          <w:color w:val="000000" w:themeColor="text1"/>
        </w:rPr>
        <w:t xml:space="preserve">Scenario </w:t>
      </w:r>
      <w:r w:rsidR="00307F1A" w:rsidRPr="001342D1">
        <w:rPr>
          <w:color w:val="000000" w:themeColor="text1"/>
        </w:rPr>
        <w:t>6</w:t>
      </w:r>
      <w:r w:rsidRPr="001342D1">
        <w:rPr>
          <w:color w:val="000000" w:themeColor="text1"/>
        </w:rPr>
        <w:t>:</w:t>
      </w:r>
    </w:p>
    <w:p w14:paraId="1852E1A8" w14:textId="5AA0F1BF" w:rsidR="00CC28A0" w:rsidRPr="001342D1" w:rsidRDefault="00104E64" w:rsidP="005A6333">
      <w:pPr>
        <w:pStyle w:val="DPCbody"/>
        <w:rPr>
          <w:sz w:val="22"/>
        </w:rPr>
      </w:pPr>
      <w:r w:rsidRPr="001342D1">
        <w:rPr>
          <w:sz w:val="22"/>
        </w:rPr>
        <w:t>A</w:t>
      </w:r>
      <w:r w:rsidR="000028A6" w:rsidRPr="001342D1">
        <w:rPr>
          <w:sz w:val="22"/>
        </w:rPr>
        <w:t xml:space="preserve"> </w:t>
      </w:r>
      <w:r w:rsidR="00586A36" w:rsidRPr="001342D1">
        <w:rPr>
          <w:sz w:val="22"/>
        </w:rPr>
        <w:t xml:space="preserve">standard assessment records low density artefact scatters across a uniform </w:t>
      </w:r>
      <w:r w:rsidR="00210F7E" w:rsidRPr="001342D1">
        <w:rPr>
          <w:sz w:val="22"/>
        </w:rPr>
        <w:t>landform</w:t>
      </w:r>
      <w:r w:rsidR="007F0945" w:rsidRPr="001342D1">
        <w:rPr>
          <w:sz w:val="22"/>
        </w:rPr>
        <w:t xml:space="preserve"> with good surface visibility</w:t>
      </w:r>
      <w:r w:rsidRPr="001342D1">
        <w:rPr>
          <w:sz w:val="22"/>
        </w:rPr>
        <w:t>.</w:t>
      </w:r>
      <w:r w:rsidR="00210F7E" w:rsidRPr="001342D1">
        <w:rPr>
          <w:sz w:val="22"/>
        </w:rPr>
        <w:t xml:space="preserve"> The desktop assessment </w:t>
      </w:r>
      <w:r w:rsidR="006940DA" w:rsidRPr="001342D1">
        <w:rPr>
          <w:sz w:val="22"/>
        </w:rPr>
        <w:t>shows that</w:t>
      </w:r>
      <w:r w:rsidR="007F0945" w:rsidRPr="001342D1">
        <w:rPr>
          <w:sz w:val="22"/>
        </w:rPr>
        <w:t xml:space="preserve"> previous</w:t>
      </w:r>
      <w:r w:rsidR="006940DA" w:rsidRPr="001342D1">
        <w:rPr>
          <w:sz w:val="22"/>
        </w:rPr>
        <w:t xml:space="preserve"> </w:t>
      </w:r>
      <w:r w:rsidR="00353DBB" w:rsidRPr="001342D1">
        <w:rPr>
          <w:sz w:val="22"/>
        </w:rPr>
        <w:t xml:space="preserve">studies in the </w:t>
      </w:r>
      <w:r w:rsidR="007F0945" w:rsidRPr="001342D1">
        <w:rPr>
          <w:sz w:val="22"/>
        </w:rPr>
        <w:t>region</w:t>
      </w:r>
      <w:r w:rsidR="00353DBB" w:rsidRPr="001342D1">
        <w:rPr>
          <w:sz w:val="22"/>
        </w:rPr>
        <w:t xml:space="preserve"> generally </w:t>
      </w:r>
      <w:r w:rsidR="0093315F" w:rsidRPr="001342D1">
        <w:rPr>
          <w:sz w:val="22"/>
        </w:rPr>
        <w:t xml:space="preserve">indicate </w:t>
      </w:r>
      <w:r w:rsidR="00353DBB" w:rsidRPr="001342D1">
        <w:rPr>
          <w:sz w:val="22"/>
        </w:rPr>
        <w:t xml:space="preserve">low density surface distributions and shallow soil profiles. </w:t>
      </w:r>
      <w:r w:rsidR="00994A2F" w:rsidRPr="001342D1">
        <w:rPr>
          <w:sz w:val="22"/>
        </w:rPr>
        <w:t>Auger testing completed as part of the standard assessment reveal</w:t>
      </w:r>
      <w:r w:rsidR="00CC28A0" w:rsidRPr="001342D1">
        <w:rPr>
          <w:sz w:val="22"/>
        </w:rPr>
        <w:t>s</w:t>
      </w:r>
      <w:r w:rsidR="00994A2F" w:rsidRPr="001342D1">
        <w:rPr>
          <w:sz w:val="22"/>
        </w:rPr>
        <w:t xml:space="preserve"> </w:t>
      </w:r>
      <w:r w:rsidR="005A3C8B" w:rsidRPr="001342D1">
        <w:rPr>
          <w:sz w:val="22"/>
        </w:rPr>
        <w:t xml:space="preserve">that the soil profile </w:t>
      </w:r>
      <w:r w:rsidR="00793478" w:rsidRPr="001342D1">
        <w:rPr>
          <w:sz w:val="22"/>
        </w:rPr>
        <w:t xml:space="preserve">across the activity area </w:t>
      </w:r>
      <w:r w:rsidR="005A3C8B" w:rsidRPr="001342D1">
        <w:rPr>
          <w:sz w:val="22"/>
        </w:rPr>
        <w:t>is a single context which is shallow in nature</w:t>
      </w:r>
      <w:r w:rsidR="005E7961" w:rsidRPr="001342D1">
        <w:rPr>
          <w:sz w:val="22"/>
        </w:rPr>
        <w:t xml:space="preserve">, overlying thick clay. </w:t>
      </w:r>
      <w:r w:rsidR="0053010D" w:rsidRPr="001342D1">
        <w:rPr>
          <w:sz w:val="22"/>
        </w:rPr>
        <w:t xml:space="preserve">The nature and extent of the material can be determined </w:t>
      </w:r>
      <w:r w:rsidR="00961368" w:rsidRPr="001342D1">
        <w:rPr>
          <w:sz w:val="22"/>
        </w:rPr>
        <w:t xml:space="preserve">from the desktop and standard </w:t>
      </w:r>
      <w:r w:rsidR="00CC28A0" w:rsidRPr="001342D1">
        <w:rPr>
          <w:sz w:val="22"/>
        </w:rPr>
        <w:t>assessment;</w:t>
      </w:r>
      <w:r w:rsidR="00961368" w:rsidRPr="001342D1">
        <w:rPr>
          <w:sz w:val="22"/>
        </w:rPr>
        <w:t xml:space="preserve"> </w:t>
      </w:r>
      <w:r w:rsidR="007F0945" w:rsidRPr="001342D1">
        <w:rPr>
          <w:sz w:val="22"/>
        </w:rPr>
        <w:t>therefore,</w:t>
      </w:r>
      <w:r w:rsidR="00961368" w:rsidRPr="001342D1">
        <w:rPr>
          <w:sz w:val="22"/>
        </w:rPr>
        <w:t xml:space="preserve"> </w:t>
      </w:r>
      <w:r w:rsidR="00CC28A0" w:rsidRPr="001342D1">
        <w:rPr>
          <w:sz w:val="22"/>
        </w:rPr>
        <w:t>subsurface testing is deemed unnecessary.</w:t>
      </w:r>
    </w:p>
    <w:p w14:paraId="712FA208" w14:textId="6A6A3087" w:rsidR="00790189" w:rsidRPr="001342D1" w:rsidRDefault="00790189" w:rsidP="00416C5B">
      <w:pPr>
        <w:pStyle w:val="Heading3"/>
        <w:rPr>
          <w:color w:val="000000" w:themeColor="text1"/>
        </w:rPr>
      </w:pPr>
      <w:r w:rsidRPr="001342D1">
        <w:rPr>
          <w:color w:val="000000" w:themeColor="text1"/>
        </w:rPr>
        <w:t xml:space="preserve">Scenario </w:t>
      </w:r>
      <w:r w:rsidR="00307F1A" w:rsidRPr="001342D1">
        <w:rPr>
          <w:color w:val="000000" w:themeColor="text1"/>
        </w:rPr>
        <w:t>7</w:t>
      </w:r>
      <w:r w:rsidRPr="001342D1">
        <w:rPr>
          <w:color w:val="000000" w:themeColor="text1"/>
        </w:rPr>
        <w:t>:</w:t>
      </w:r>
    </w:p>
    <w:p w14:paraId="357F190C" w14:textId="6D346A18" w:rsidR="00416C5B" w:rsidRPr="001342D1" w:rsidRDefault="00416C5B" w:rsidP="00416C5B">
      <w:pPr>
        <w:pStyle w:val="DPCbody"/>
        <w:rPr>
          <w:sz w:val="22"/>
        </w:rPr>
      </w:pPr>
      <w:r w:rsidRPr="001342D1">
        <w:rPr>
          <w:sz w:val="22"/>
        </w:rPr>
        <w:t xml:space="preserve">An activity area includes a </w:t>
      </w:r>
      <w:r w:rsidR="00864F8C" w:rsidRPr="001342D1">
        <w:rPr>
          <w:sz w:val="22"/>
        </w:rPr>
        <w:t xml:space="preserve">major </w:t>
      </w:r>
      <w:r w:rsidR="00304122" w:rsidRPr="001342D1">
        <w:rPr>
          <w:sz w:val="22"/>
        </w:rPr>
        <w:t xml:space="preserve">waterway </w:t>
      </w:r>
      <w:r w:rsidR="006533B5" w:rsidRPr="001342D1">
        <w:rPr>
          <w:sz w:val="22"/>
        </w:rPr>
        <w:t xml:space="preserve">a well as flat plains. The standard assessment records low density surface artefacts </w:t>
      </w:r>
      <w:r w:rsidR="00275240" w:rsidRPr="001342D1">
        <w:rPr>
          <w:sz w:val="22"/>
        </w:rPr>
        <w:t>across the activity area</w:t>
      </w:r>
      <w:r w:rsidR="00D058ED" w:rsidRPr="001342D1">
        <w:rPr>
          <w:sz w:val="22"/>
        </w:rPr>
        <w:t xml:space="preserve">. </w:t>
      </w:r>
      <w:r w:rsidR="00275240" w:rsidRPr="001342D1">
        <w:rPr>
          <w:sz w:val="22"/>
        </w:rPr>
        <w:t>The desktop assessment</w:t>
      </w:r>
      <w:r w:rsidR="00D058ED" w:rsidRPr="001342D1">
        <w:rPr>
          <w:sz w:val="22"/>
        </w:rPr>
        <w:t xml:space="preserve"> indicate</w:t>
      </w:r>
      <w:r w:rsidR="00275240" w:rsidRPr="001342D1">
        <w:rPr>
          <w:sz w:val="22"/>
        </w:rPr>
        <w:t>s</w:t>
      </w:r>
      <w:r w:rsidR="00D058ED" w:rsidRPr="001342D1">
        <w:rPr>
          <w:sz w:val="22"/>
        </w:rPr>
        <w:t xml:space="preserve"> that the alluvial terraces of the river are likely to contain </w:t>
      </w:r>
      <w:r w:rsidR="009148E4" w:rsidRPr="001342D1">
        <w:rPr>
          <w:sz w:val="22"/>
        </w:rPr>
        <w:t>higher densities of material in subsurface contexts</w:t>
      </w:r>
      <w:r w:rsidR="003934B4" w:rsidRPr="001342D1">
        <w:rPr>
          <w:sz w:val="22"/>
        </w:rPr>
        <w:t xml:space="preserve">, that are relatively </w:t>
      </w:r>
      <w:r w:rsidR="003934B4" w:rsidRPr="001342D1">
        <w:rPr>
          <w:i/>
          <w:iCs/>
          <w:sz w:val="22"/>
        </w:rPr>
        <w:t xml:space="preserve">in situ </w:t>
      </w:r>
      <w:r w:rsidR="003934B4" w:rsidRPr="001342D1">
        <w:rPr>
          <w:sz w:val="22"/>
        </w:rPr>
        <w:t xml:space="preserve">and </w:t>
      </w:r>
      <w:r w:rsidR="00275240" w:rsidRPr="001342D1">
        <w:rPr>
          <w:sz w:val="22"/>
        </w:rPr>
        <w:t>datable due to clear terracing</w:t>
      </w:r>
      <w:r w:rsidR="00BF5A1C" w:rsidRPr="001342D1">
        <w:rPr>
          <w:sz w:val="22"/>
        </w:rPr>
        <w:t>, whereas the plains are generally shallow, with low densities of material dispersed from modern farming practices.</w:t>
      </w:r>
      <w:r w:rsidR="006F29FB" w:rsidRPr="001342D1">
        <w:rPr>
          <w:sz w:val="22"/>
        </w:rPr>
        <w:t xml:space="preserve"> A complex assessment should be undertaken, focusing on the areas of alluvial terrace where the material is likely to remain in context and</w:t>
      </w:r>
      <w:r w:rsidR="009D2ED0" w:rsidRPr="001342D1">
        <w:rPr>
          <w:sz w:val="22"/>
        </w:rPr>
        <w:t xml:space="preserve"> subsurface excavation will add to the information about the nature and extent of the place.</w:t>
      </w:r>
    </w:p>
    <w:p w14:paraId="7BB23D4A" w14:textId="77777777" w:rsidR="0030491E" w:rsidRPr="001342D1" w:rsidRDefault="0030491E" w:rsidP="00862493">
      <w:pPr>
        <w:pStyle w:val="DPCbody"/>
        <w:rPr>
          <w:sz w:val="22"/>
        </w:rPr>
      </w:pPr>
    </w:p>
    <w:p w14:paraId="05C1A2AF" w14:textId="77777777" w:rsidR="0030491E" w:rsidRPr="00380303" w:rsidRDefault="0030491E" w:rsidP="00862493">
      <w:pPr>
        <w:pStyle w:val="DPCbody"/>
        <w:rPr>
          <w:sz w:val="22"/>
        </w:rPr>
      </w:pPr>
    </w:p>
    <w:sectPr w:rsidR="0030491E" w:rsidRPr="00380303" w:rsidSect="00FC750D">
      <w:pgSz w:w="11906" w:h="16838" w:code="9"/>
      <w:pgMar w:top="1418" w:right="851" w:bottom="1134" w:left="1134" w:header="567" w:footer="510"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56562" w14:textId="77777777" w:rsidR="00871CAD" w:rsidRDefault="00871CAD">
      <w:r>
        <w:separator/>
      </w:r>
    </w:p>
  </w:endnote>
  <w:endnote w:type="continuationSeparator" w:id="0">
    <w:p w14:paraId="704B1A39" w14:textId="77777777" w:rsidR="00871CAD" w:rsidRDefault="00871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Times">
    <w:panose1 w:val="02020603050405020304"/>
    <w:charset w:val="00"/>
    <w:family w:val="roman"/>
    <w:notTrueType/>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2BFEF" w14:textId="77777777" w:rsidR="000463B7" w:rsidRDefault="000463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E48C2" w14:textId="4FB42CF8" w:rsidR="002A5F17" w:rsidRDefault="002A5F17" w:rsidP="002A5F17">
    <w:pPr>
      <w:rPr>
        <w:rFonts w:ascii="Calibri" w:hAnsi="Calibri" w:cs="Calibri"/>
        <w:color w:val="000000"/>
        <w:sz w:val="18"/>
        <w:szCs w:val="18"/>
      </w:rPr>
    </w:pPr>
    <w:r>
      <w:rPr>
        <w:rFonts w:ascii="Calibri" w:hAnsi="Calibri" w:cs="Calibri"/>
        <w:color w:val="000000"/>
        <w:sz w:val="18"/>
        <w:szCs w:val="18"/>
      </w:rPr>
      <w:t xml:space="preserve">              </w:t>
    </w:r>
    <w:r w:rsidRPr="006E1AAD">
      <w:rPr>
        <w:rFonts w:ascii="Calibri" w:hAnsi="Calibri" w:cs="Calibri"/>
        <w:color w:val="000000"/>
        <w:sz w:val="18"/>
        <w:szCs w:val="18"/>
      </w:rPr>
      <w:t xml:space="preserve">   </w:t>
    </w:r>
  </w:p>
  <w:p w14:paraId="36755228" w14:textId="4E2E1031" w:rsidR="002A5F17" w:rsidRDefault="00A14FB0" w:rsidP="002A5F17">
    <w:pPr>
      <w:rPr>
        <w:rFonts w:ascii="Calibri" w:hAnsi="Calibri" w:cs="Calibri"/>
        <w:color w:val="000000"/>
        <w:sz w:val="18"/>
        <w:szCs w:val="18"/>
      </w:rPr>
    </w:pPr>
    <w:r>
      <w:rPr>
        <w:noProof/>
      </w:rPr>
      <w:drawing>
        <wp:anchor distT="0" distB="0" distL="114300" distR="114300" simplePos="0" relativeHeight="251660290" behindDoc="0" locked="0" layoutInCell="1" allowOverlap="1" wp14:anchorId="13CD0934" wp14:editId="1D75285A">
          <wp:simplePos x="0" y="0"/>
          <wp:positionH relativeFrom="column">
            <wp:posOffset>3752850</wp:posOffset>
          </wp:positionH>
          <wp:positionV relativeFrom="paragraph">
            <wp:posOffset>37465</wp:posOffset>
          </wp:positionV>
          <wp:extent cx="2423160" cy="548005"/>
          <wp:effectExtent l="0" t="0" r="0" b="4445"/>
          <wp:wrapSquare wrapText="bothSides"/>
          <wp:docPr id="916179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rotWithShape="1">
                  <a:blip r:embed="rId1">
                    <a:extLst>
                      <a:ext uri="{28A0092B-C50C-407E-A947-70E740481C1C}">
                        <a14:useLocalDpi xmlns:a14="http://schemas.microsoft.com/office/drawing/2010/main" val="0"/>
                      </a:ext>
                    </a:extLst>
                  </a:blip>
                  <a:srcRect l="61536"/>
                  <a:stretch>
                    <a:fillRect/>
                  </a:stretch>
                </pic:blipFill>
                <pic:spPr bwMode="auto">
                  <a:xfrm>
                    <a:off x="0" y="0"/>
                    <a:ext cx="2423160" cy="548005"/>
                  </a:xfrm>
                  <a:prstGeom prst="rect">
                    <a:avLst/>
                  </a:prstGeom>
                  <a:ln>
                    <a:noFill/>
                  </a:ln>
                  <a:extLst>
                    <a:ext uri="{53640926-AAD7-44D8-BBD7-CCE9431645EC}">
                      <a14:shadowObscured xmlns:a14="http://schemas.microsoft.com/office/drawing/2010/main"/>
                    </a:ext>
                  </a:extLst>
                </pic:spPr>
              </pic:pic>
            </a:graphicData>
          </a:graphic>
        </wp:anchor>
      </w:drawing>
    </w:r>
  </w:p>
  <w:p w14:paraId="5713F7E6" w14:textId="445CC819" w:rsidR="002A5F17" w:rsidRPr="006E1AAD" w:rsidRDefault="002A5F17" w:rsidP="002A5F17">
    <w:pPr>
      <w:rPr>
        <w:rFonts w:ascii="Calibri" w:hAnsi="Calibri" w:cs="Calibri"/>
        <w:color w:val="000000"/>
        <w:sz w:val="18"/>
        <w:szCs w:val="18"/>
      </w:rPr>
    </w:pPr>
    <w:r w:rsidRPr="006E1AAD">
      <w:rPr>
        <w:rFonts w:ascii="Calibri" w:hAnsi="Calibri" w:cs="Calibri"/>
        <w:color w:val="000000"/>
        <w:sz w:val="18"/>
        <w:szCs w:val="18"/>
      </w:rPr>
      <w:t xml:space="preserve"> VERSION – 1 JULY 2026</w:t>
    </w:r>
  </w:p>
  <w:p w14:paraId="63CEC20F" w14:textId="6AE10F47" w:rsidR="00CE750D" w:rsidRPr="002A5F17" w:rsidRDefault="00CE750D" w:rsidP="002A5F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66837" w14:textId="77777777" w:rsidR="000463B7" w:rsidRDefault="000463B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39F99" w14:textId="61271746" w:rsidR="00657303" w:rsidRPr="00A95E3B" w:rsidRDefault="006768DF" w:rsidP="00B01E7E">
    <w:pPr>
      <w:pStyle w:val="DPCfooter"/>
    </w:pPr>
    <w:r w:rsidRPr="00A95E3B">
      <w:tab/>
    </w:r>
    <w:r w:rsidR="00EF362A" w:rsidRPr="00A95E3B">
      <w:fldChar w:fldCharType="begin"/>
    </w:r>
    <w:r w:rsidR="00EF362A" w:rsidRPr="00A95E3B">
      <w:instrText xml:space="preserve"> PAGE   \* MERGEFORMAT </w:instrText>
    </w:r>
    <w:r w:rsidR="00EF362A" w:rsidRPr="00A95E3B">
      <w:fldChar w:fldCharType="separate"/>
    </w:r>
    <w:r w:rsidR="00A3641C">
      <w:rPr>
        <w:noProof/>
      </w:rPr>
      <w:t>4</w:t>
    </w:r>
    <w:r w:rsidR="00EF362A" w:rsidRPr="00A95E3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00923" w14:textId="77777777" w:rsidR="00871CAD" w:rsidRDefault="00871CAD" w:rsidP="002862F1">
      <w:pPr>
        <w:spacing w:before="120"/>
      </w:pPr>
      <w:r>
        <w:separator/>
      </w:r>
    </w:p>
  </w:footnote>
  <w:footnote w:type="continuationSeparator" w:id="0">
    <w:p w14:paraId="2E4AC73F" w14:textId="77777777" w:rsidR="00871CAD" w:rsidRDefault="00871C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89DE5" w14:textId="77777777" w:rsidR="000463B7" w:rsidRDefault="000463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D9D21" w14:textId="77777777" w:rsidR="000463B7" w:rsidRDefault="000463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DC958" w14:textId="77777777" w:rsidR="000463B7" w:rsidRDefault="000463B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E5655" w14:textId="77777777" w:rsidR="00657303" w:rsidRDefault="00A2381E">
    <w:pPr>
      <w:pStyle w:val="Header"/>
    </w:pPr>
    <w:r>
      <w:rPr>
        <w:noProof/>
        <w:lang w:eastAsia="en-AU"/>
      </w:rPr>
      <w:drawing>
        <wp:anchor distT="0" distB="0" distL="114300" distR="114300" simplePos="0" relativeHeight="251658241" behindDoc="0" locked="1" layoutInCell="0" allowOverlap="1" wp14:anchorId="6F01F467" wp14:editId="390A0649">
          <wp:simplePos x="0" y="0"/>
          <wp:positionH relativeFrom="page">
            <wp:posOffset>-7620</wp:posOffset>
          </wp:positionH>
          <wp:positionV relativeFrom="page">
            <wp:posOffset>272415</wp:posOffset>
          </wp:positionV>
          <wp:extent cx="7563485" cy="502920"/>
          <wp:effectExtent l="0" t="0" r="0" b="0"/>
          <wp:wrapNone/>
          <wp:docPr id="369815913" name="Picture 369815913"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 report header strip portrait.png"/>
                  <pic:cNvPicPr/>
                </pic:nvPicPr>
                <pic:blipFill>
                  <a:blip r:embed="rId1">
                    <a:extLst>
                      <a:ext uri="{28A0092B-C50C-407E-A947-70E740481C1C}">
                        <a14:useLocalDpi xmlns:a14="http://schemas.microsoft.com/office/drawing/2010/main" val="0"/>
                      </a:ext>
                    </a:extLst>
                  </a:blip>
                  <a:stretch>
                    <a:fillRect/>
                  </a:stretch>
                </pic:blipFill>
                <pic:spPr>
                  <a:xfrm>
                    <a:off x="0" y="0"/>
                    <a:ext cx="7563485" cy="5029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71B35"/>
    <w:multiLevelType w:val="hybridMultilevel"/>
    <w:tmpl w:val="9B28F0E2"/>
    <w:lvl w:ilvl="0" w:tplc="233639E0">
      <w:start w:val="1"/>
      <w:numFmt w:val="bullet"/>
      <w:pStyle w:val="BodyTextIndent"/>
      <w:lvlText w:val=""/>
      <w:lvlJc w:val="left"/>
      <w:pPr>
        <w:tabs>
          <w:tab w:val="num" w:pos="-717"/>
        </w:tabs>
        <w:ind w:left="360" w:hanging="360"/>
      </w:pPr>
      <w:rPr>
        <w:rFonts w:ascii="Symbol" w:hAnsi="Symbol" w:hint="default"/>
        <w:color w:val="9E3039"/>
      </w:rPr>
    </w:lvl>
    <w:lvl w:ilvl="1" w:tplc="947C0154">
      <w:start w:val="1"/>
      <w:numFmt w:val="decimal"/>
      <w:lvlText w:val="%2."/>
      <w:lvlJc w:val="left"/>
      <w:pPr>
        <w:tabs>
          <w:tab w:val="num" w:pos="3"/>
        </w:tabs>
        <w:ind w:left="3" w:hanging="360"/>
      </w:pPr>
      <w:rPr>
        <w:rFonts w:hint="default"/>
        <w:color w:val="auto"/>
        <w:szCs w:val="20"/>
      </w:rPr>
    </w:lvl>
    <w:lvl w:ilvl="2" w:tplc="04090005">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1" w15:restartNumberingAfterBreak="0">
    <w:nsid w:val="4BA23DAC"/>
    <w:multiLevelType w:val="multilevel"/>
    <w:tmpl w:val="3D38F070"/>
    <w:styleLink w:val="Bullets"/>
    <w:lvl w:ilvl="0">
      <w:start w:val="1"/>
      <w:numFmt w:val="bullet"/>
      <w:lvlText w:val="▪"/>
      <w:lvlJc w:val="left"/>
      <w:pPr>
        <w:ind w:left="284" w:hanging="284"/>
      </w:pPr>
      <w:rPr>
        <w:rFonts w:ascii="Calibri" w:hAnsi="Calibri" w:hint="default"/>
        <w:sz w:val="24"/>
      </w:rPr>
    </w:lvl>
    <w:lvl w:ilvl="1">
      <w:start w:val="1"/>
      <w:numFmt w:val="bullet"/>
      <w:lvlRestart w:val="0"/>
      <w:lvlText w:val="▪"/>
      <w:lvlJc w:val="left"/>
      <w:pPr>
        <w:ind w:left="284" w:hanging="284"/>
      </w:pPr>
      <w:rPr>
        <w:rFonts w:ascii="Calibri" w:hAnsi="Calibri" w:hint="default"/>
      </w:rPr>
    </w:lvl>
    <w:lvl w:ilvl="2">
      <w:start w:val="1"/>
      <w:numFmt w:val="bullet"/>
      <w:lvlRestart w:val="0"/>
      <w:pStyle w:val="DPCbullet2"/>
      <w:lvlText w:val="–"/>
      <w:lvlJc w:val="left"/>
      <w:pPr>
        <w:ind w:left="567" w:hanging="283"/>
      </w:pPr>
      <w:rPr>
        <w:rFonts w:ascii="Calibri" w:hAnsi="Calibri" w:hint="default"/>
      </w:rPr>
    </w:lvl>
    <w:lvl w:ilvl="3">
      <w:start w:val="1"/>
      <w:numFmt w:val="bullet"/>
      <w:lvlRestart w:val="0"/>
      <w:pStyle w:val="DPCbullet2lastline"/>
      <w:lvlText w:val="–"/>
      <w:lvlJc w:val="left"/>
      <w:pPr>
        <w:ind w:left="567" w:hanging="283"/>
      </w:pPr>
      <w:rPr>
        <w:rFonts w:ascii="Calibri" w:hAnsi="Calibri" w:hint="default"/>
      </w:rPr>
    </w:lvl>
    <w:lvl w:ilvl="4">
      <w:start w:val="1"/>
      <w:numFmt w:val="bullet"/>
      <w:lvlRestart w:val="0"/>
      <w:pStyle w:val="DPCbulletindent"/>
      <w:lvlText w:val="▪"/>
      <w:lvlJc w:val="left"/>
      <w:pPr>
        <w:ind w:left="680" w:hanging="283"/>
      </w:pPr>
      <w:rPr>
        <w:rFonts w:ascii="Calibri" w:hAnsi="Calibri" w:hint="default"/>
      </w:rPr>
    </w:lvl>
    <w:lvl w:ilvl="5">
      <w:start w:val="1"/>
      <w:numFmt w:val="bullet"/>
      <w:lvlRestart w:val="0"/>
      <w:pStyle w:val="DPCbulletindentlastline"/>
      <w:lvlText w:val="▪"/>
      <w:lvlJc w:val="left"/>
      <w:pPr>
        <w:ind w:left="680" w:hanging="283"/>
      </w:pPr>
      <w:rPr>
        <w:rFonts w:ascii="Calibri" w:hAnsi="Calibri" w:hint="default"/>
      </w:rPr>
    </w:lvl>
    <w:lvl w:ilvl="6">
      <w:start w:val="1"/>
      <w:numFmt w:val="bullet"/>
      <w:lvlRestart w:val="0"/>
      <w:pStyle w:val="DPC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633B2BCC"/>
    <w:multiLevelType w:val="hybridMultilevel"/>
    <w:tmpl w:val="1D6AC358"/>
    <w:lvl w:ilvl="0" w:tplc="AF32A326">
      <w:start w:val="1"/>
      <w:numFmt w:val="bullet"/>
      <w:lvlText w:val=""/>
      <w:lvlJc w:val="left"/>
      <w:pPr>
        <w:tabs>
          <w:tab w:val="num" w:pos="-717"/>
        </w:tabs>
        <w:ind w:left="360" w:hanging="360"/>
      </w:pPr>
      <w:rPr>
        <w:rFonts w:ascii="Wingdings" w:hAnsi="Wingdings" w:hint="default"/>
        <w:color w:val="auto"/>
      </w:rPr>
    </w:lvl>
    <w:lvl w:ilvl="1" w:tplc="947C0154">
      <w:start w:val="1"/>
      <w:numFmt w:val="decimal"/>
      <w:lvlText w:val="%2."/>
      <w:lvlJc w:val="left"/>
      <w:pPr>
        <w:tabs>
          <w:tab w:val="num" w:pos="3"/>
        </w:tabs>
        <w:ind w:left="3" w:hanging="360"/>
      </w:pPr>
      <w:rPr>
        <w:rFonts w:hint="default"/>
        <w:color w:val="auto"/>
        <w:szCs w:val="20"/>
      </w:rPr>
    </w:lvl>
    <w:lvl w:ilvl="2" w:tplc="04090005">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3" w15:restartNumberingAfterBreak="0">
    <w:nsid w:val="72335E7B"/>
    <w:multiLevelType w:val="hybridMultilevel"/>
    <w:tmpl w:val="750833D0"/>
    <w:lvl w:ilvl="0" w:tplc="6EEE2E52">
      <w:start w:val="1"/>
      <w:numFmt w:val="lowerLetter"/>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4" w15:restartNumberingAfterBreak="0">
    <w:nsid w:val="73F30FD1"/>
    <w:multiLevelType w:val="multilevel"/>
    <w:tmpl w:val="577C881E"/>
    <w:styleLink w:val="Numbers"/>
    <w:lvl w:ilvl="0">
      <w:start w:val="1"/>
      <w:numFmt w:val="decimal"/>
      <w:pStyle w:val="DPCnumberdigit"/>
      <w:lvlText w:val="%1."/>
      <w:lvlJc w:val="left"/>
      <w:pPr>
        <w:tabs>
          <w:tab w:val="num" w:pos="397"/>
        </w:tabs>
        <w:ind w:left="397" w:hanging="397"/>
      </w:pPr>
      <w:rPr>
        <w:rFonts w:hint="default"/>
      </w:rPr>
    </w:lvl>
    <w:lvl w:ilvl="1">
      <w:start w:val="1"/>
      <w:numFmt w:val="decimal"/>
      <w:lvlRestart w:val="0"/>
      <w:pStyle w:val="DPCnumberdigitindent"/>
      <w:lvlText w:val="%2."/>
      <w:lvlJc w:val="left"/>
      <w:pPr>
        <w:tabs>
          <w:tab w:val="num" w:pos="794"/>
        </w:tabs>
        <w:ind w:left="794" w:hanging="397"/>
      </w:pPr>
      <w:rPr>
        <w:rFonts w:hint="default"/>
      </w:rPr>
    </w:lvl>
    <w:lvl w:ilvl="2">
      <w:start w:val="1"/>
      <w:numFmt w:val="lowerLetter"/>
      <w:lvlRestart w:val="0"/>
      <w:pStyle w:val="DPCnumberloweralpha"/>
      <w:lvlText w:val="(%3)"/>
      <w:lvlJc w:val="left"/>
      <w:pPr>
        <w:tabs>
          <w:tab w:val="num" w:pos="397"/>
        </w:tabs>
        <w:ind w:left="397" w:hanging="397"/>
      </w:pPr>
      <w:rPr>
        <w:rFonts w:hint="default"/>
      </w:rPr>
    </w:lvl>
    <w:lvl w:ilvl="3">
      <w:start w:val="1"/>
      <w:numFmt w:val="lowerLetter"/>
      <w:lvlRestart w:val="0"/>
      <w:pStyle w:val="DPCnumberloweralphaindent"/>
      <w:lvlText w:val="(%4)"/>
      <w:lvlJc w:val="left"/>
      <w:pPr>
        <w:tabs>
          <w:tab w:val="num" w:pos="794"/>
        </w:tabs>
        <w:ind w:left="794" w:hanging="397"/>
      </w:pPr>
      <w:rPr>
        <w:rFonts w:hint="default"/>
      </w:rPr>
    </w:lvl>
    <w:lvl w:ilvl="4">
      <w:start w:val="1"/>
      <w:numFmt w:val="lowerRoman"/>
      <w:lvlRestart w:val="0"/>
      <w:pStyle w:val="DPCnumberlowerroman"/>
      <w:lvlText w:val="(%5)"/>
      <w:lvlJc w:val="left"/>
      <w:pPr>
        <w:tabs>
          <w:tab w:val="num" w:pos="397"/>
        </w:tabs>
        <w:ind w:left="397" w:hanging="397"/>
      </w:pPr>
      <w:rPr>
        <w:rFonts w:hint="default"/>
      </w:rPr>
    </w:lvl>
    <w:lvl w:ilvl="5">
      <w:start w:val="1"/>
      <w:numFmt w:val="lowerRoman"/>
      <w:lvlRestart w:val="0"/>
      <w:pStyle w:val="DPC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75424811"/>
    <w:multiLevelType w:val="hybridMultilevel"/>
    <w:tmpl w:val="AD700FF0"/>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2126463564">
    <w:abstractNumId w:val="4"/>
  </w:num>
  <w:num w:numId="2" w16cid:durableId="499202254">
    <w:abstractNumId w:val="1"/>
  </w:num>
  <w:num w:numId="3" w16cid:durableId="1866750575">
    <w:abstractNumId w:val="4"/>
  </w:num>
  <w:num w:numId="4" w16cid:durableId="93718115">
    <w:abstractNumId w:val="1"/>
  </w:num>
  <w:num w:numId="5" w16cid:durableId="1969818272">
    <w:abstractNumId w:val="0"/>
  </w:num>
  <w:num w:numId="6" w16cid:durableId="542794022">
    <w:abstractNumId w:val="3"/>
  </w:num>
  <w:num w:numId="7" w16cid:durableId="1314482900">
    <w:abstractNumId w:val="2"/>
  </w:num>
  <w:num w:numId="8" w16cid:durableId="1737391145">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suppressSpBfAfterPgB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59B5"/>
    <w:rsid w:val="000028A6"/>
    <w:rsid w:val="000032FE"/>
    <w:rsid w:val="000072B6"/>
    <w:rsid w:val="0001021B"/>
    <w:rsid w:val="00011D89"/>
    <w:rsid w:val="000137AB"/>
    <w:rsid w:val="00024D89"/>
    <w:rsid w:val="0002578B"/>
    <w:rsid w:val="0002710C"/>
    <w:rsid w:val="00033D81"/>
    <w:rsid w:val="00037D82"/>
    <w:rsid w:val="00041BF0"/>
    <w:rsid w:val="00043995"/>
    <w:rsid w:val="000449CF"/>
    <w:rsid w:val="0004536B"/>
    <w:rsid w:val="00045700"/>
    <w:rsid w:val="000463B7"/>
    <w:rsid w:val="00046B68"/>
    <w:rsid w:val="000527DD"/>
    <w:rsid w:val="0005421F"/>
    <w:rsid w:val="000578B2"/>
    <w:rsid w:val="00060959"/>
    <w:rsid w:val="00066334"/>
    <w:rsid w:val="00074219"/>
    <w:rsid w:val="00074ED5"/>
    <w:rsid w:val="000815CF"/>
    <w:rsid w:val="00090171"/>
    <w:rsid w:val="0009080D"/>
    <w:rsid w:val="000958FD"/>
    <w:rsid w:val="00096CD1"/>
    <w:rsid w:val="000A012C"/>
    <w:rsid w:val="000A0EB9"/>
    <w:rsid w:val="000A186C"/>
    <w:rsid w:val="000A1A2F"/>
    <w:rsid w:val="000A27BF"/>
    <w:rsid w:val="000B21ED"/>
    <w:rsid w:val="000B3B7B"/>
    <w:rsid w:val="000B46A2"/>
    <w:rsid w:val="000B543D"/>
    <w:rsid w:val="000B5BF7"/>
    <w:rsid w:val="000B6A4B"/>
    <w:rsid w:val="000B6BC8"/>
    <w:rsid w:val="000C42EA"/>
    <w:rsid w:val="000C4546"/>
    <w:rsid w:val="000C4E3A"/>
    <w:rsid w:val="000C7413"/>
    <w:rsid w:val="000C7F21"/>
    <w:rsid w:val="000D0AEB"/>
    <w:rsid w:val="000D1242"/>
    <w:rsid w:val="000D7DEE"/>
    <w:rsid w:val="000E3CC7"/>
    <w:rsid w:val="000E6BD4"/>
    <w:rsid w:val="000F1F1E"/>
    <w:rsid w:val="000F2259"/>
    <w:rsid w:val="00100EBF"/>
    <w:rsid w:val="0010342F"/>
    <w:rsid w:val="0010392D"/>
    <w:rsid w:val="00103E86"/>
    <w:rsid w:val="00104E64"/>
    <w:rsid w:val="00104FE3"/>
    <w:rsid w:val="00114A83"/>
    <w:rsid w:val="00120BD3"/>
    <w:rsid w:val="00122FEA"/>
    <w:rsid w:val="001232BD"/>
    <w:rsid w:val="00124ED5"/>
    <w:rsid w:val="001342D1"/>
    <w:rsid w:val="001401BF"/>
    <w:rsid w:val="001447B3"/>
    <w:rsid w:val="00144B2A"/>
    <w:rsid w:val="001570A4"/>
    <w:rsid w:val="00157DA4"/>
    <w:rsid w:val="00161939"/>
    <w:rsid w:val="00161AA0"/>
    <w:rsid w:val="00162093"/>
    <w:rsid w:val="00164CF0"/>
    <w:rsid w:val="0016656A"/>
    <w:rsid w:val="00171408"/>
    <w:rsid w:val="00173206"/>
    <w:rsid w:val="00175CCE"/>
    <w:rsid w:val="001771DD"/>
    <w:rsid w:val="00177995"/>
    <w:rsid w:val="00177A8C"/>
    <w:rsid w:val="001828F5"/>
    <w:rsid w:val="00186B33"/>
    <w:rsid w:val="00191FA1"/>
    <w:rsid w:val="00192F9D"/>
    <w:rsid w:val="001961B9"/>
    <w:rsid w:val="00196EB8"/>
    <w:rsid w:val="001979FF"/>
    <w:rsid w:val="00197B17"/>
    <w:rsid w:val="001A3ACE"/>
    <w:rsid w:val="001A4BB4"/>
    <w:rsid w:val="001A649E"/>
    <w:rsid w:val="001A72E3"/>
    <w:rsid w:val="001B23C8"/>
    <w:rsid w:val="001C07D9"/>
    <w:rsid w:val="001C1999"/>
    <w:rsid w:val="001C1E99"/>
    <w:rsid w:val="001C2A72"/>
    <w:rsid w:val="001C7795"/>
    <w:rsid w:val="001D0B75"/>
    <w:rsid w:val="001D1E91"/>
    <w:rsid w:val="001D2E86"/>
    <w:rsid w:val="001D3C09"/>
    <w:rsid w:val="001D44E8"/>
    <w:rsid w:val="001D4AC4"/>
    <w:rsid w:val="001D5A44"/>
    <w:rsid w:val="001D60EC"/>
    <w:rsid w:val="001E44DF"/>
    <w:rsid w:val="001E567A"/>
    <w:rsid w:val="001E68A5"/>
    <w:rsid w:val="001F305C"/>
    <w:rsid w:val="001F4BAA"/>
    <w:rsid w:val="001F5F5A"/>
    <w:rsid w:val="001F61D2"/>
    <w:rsid w:val="001F69E6"/>
    <w:rsid w:val="001F6E46"/>
    <w:rsid w:val="001F7C91"/>
    <w:rsid w:val="00201341"/>
    <w:rsid w:val="002017A7"/>
    <w:rsid w:val="00206463"/>
    <w:rsid w:val="00206F2F"/>
    <w:rsid w:val="0020761D"/>
    <w:rsid w:val="00207E06"/>
    <w:rsid w:val="0021053D"/>
    <w:rsid w:val="00210A92"/>
    <w:rsid w:val="00210F7E"/>
    <w:rsid w:val="00214B08"/>
    <w:rsid w:val="00214D82"/>
    <w:rsid w:val="00216C03"/>
    <w:rsid w:val="00220C04"/>
    <w:rsid w:val="00226E74"/>
    <w:rsid w:val="0023019B"/>
    <w:rsid w:val="00230872"/>
    <w:rsid w:val="002333F5"/>
    <w:rsid w:val="00237C67"/>
    <w:rsid w:val="0024681B"/>
    <w:rsid w:val="00246C5E"/>
    <w:rsid w:val="00251343"/>
    <w:rsid w:val="002544F8"/>
    <w:rsid w:val="00254F6A"/>
    <w:rsid w:val="00254F7A"/>
    <w:rsid w:val="002620BC"/>
    <w:rsid w:val="00263A90"/>
    <w:rsid w:val="0026408B"/>
    <w:rsid w:val="00267C3E"/>
    <w:rsid w:val="002700CE"/>
    <w:rsid w:val="002709BB"/>
    <w:rsid w:val="0027456C"/>
    <w:rsid w:val="00275240"/>
    <w:rsid w:val="002802E3"/>
    <w:rsid w:val="0028213D"/>
    <w:rsid w:val="002830C4"/>
    <w:rsid w:val="002862F1"/>
    <w:rsid w:val="00290F7E"/>
    <w:rsid w:val="00291373"/>
    <w:rsid w:val="0029597D"/>
    <w:rsid w:val="002962C3"/>
    <w:rsid w:val="002A45FE"/>
    <w:rsid w:val="002A483C"/>
    <w:rsid w:val="002A5F17"/>
    <w:rsid w:val="002A5F50"/>
    <w:rsid w:val="002B1729"/>
    <w:rsid w:val="002B4DD4"/>
    <w:rsid w:val="002B51A9"/>
    <w:rsid w:val="002B5277"/>
    <w:rsid w:val="002B77C1"/>
    <w:rsid w:val="002C068E"/>
    <w:rsid w:val="002C270A"/>
    <w:rsid w:val="002C2728"/>
    <w:rsid w:val="002C28F7"/>
    <w:rsid w:val="002C4EEF"/>
    <w:rsid w:val="002D5A82"/>
    <w:rsid w:val="002E01D0"/>
    <w:rsid w:val="002E161D"/>
    <w:rsid w:val="002E59B5"/>
    <w:rsid w:val="002E6C95"/>
    <w:rsid w:val="002E7C36"/>
    <w:rsid w:val="002F24B1"/>
    <w:rsid w:val="002F5F31"/>
    <w:rsid w:val="00302216"/>
    <w:rsid w:val="00303247"/>
    <w:rsid w:val="00303E53"/>
    <w:rsid w:val="00304122"/>
    <w:rsid w:val="0030491E"/>
    <w:rsid w:val="00306E5F"/>
    <w:rsid w:val="00307E14"/>
    <w:rsid w:val="00307F1A"/>
    <w:rsid w:val="00312C33"/>
    <w:rsid w:val="00314054"/>
    <w:rsid w:val="0031510A"/>
    <w:rsid w:val="00316F27"/>
    <w:rsid w:val="00326A66"/>
    <w:rsid w:val="00327870"/>
    <w:rsid w:val="00330B74"/>
    <w:rsid w:val="0033259D"/>
    <w:rsid w:val="0033469A"/>
    <w:rsid w:val="00336814"/>
    <w:rsid w:val="003368F7"/>
    <w:rsid w:val="003406C6"/>
    <w:rsid w:val="0034182F"/>
    <w:rsid w:val="003418CC"/>
    <w:rsid w:val="003452D9"/>
    <w:rsid w:val="0034531D"/>
    <w:rsid w:val="003459BD"/>
    <w:rsid w:val="00350D38"/>
    <w:rsid w:val="00352B8D"/>
    <w:rsid w:val="00353DBB"/>
    <w:rsid w:val="003652D5"/>
    <w:rsid w:val="003744CF"/>
    <w:rsid w:val="00374717"/>
    <w:rsid w:val="00374809"/>
    <w:rsid w:val="0037676C"/>
    <w:rsid w:val="00380303"/>
    <w:rsid w:val="00381450"/>
    <w:rsid w:val="003829E5"/>
    <w:rsid w:val="00382DEA"/>
    <w:rsid w:val="00383446"/>
    <w:rsid w:val="003847AF"/>
    <w:rsid w:val="003917C8"/>
    <w:rsid w:val="003934B4"/>
    <w:rsid w:val="003956CC"/>
    <w:rsid w:val="00395C9A"/>
    <w:rsid w:val="00396FD5"/>
    <w:rsid w:val="003A214E"/>
    <w:rsid w:val="003A3B1D"/>
    <w:rsid w:val="003A6B67"/>
    <w:rsid w:val="003A74C7"/>
    <w:rsid w:val="003B15E6"/>
    <w:rsid w:val="003B2114"/>
    <w:rsid w:val="003B6ECA"/>
    <w:rsid w:val="003C2045"/>
    <w:rsid w:val="003C2E6A"/>
    <w:rsid w:val="003C315F"/>
    <w:rsid w:val="003C43A1"/>
    <w:rsid w:val="003C55F4"/>
    <w:rsid w:val="003C7A3F"/>
    <w:rsid w:val="003D0274"/>
    <w:rsid w:val="003D3E8F"/>
    <w:rsid w:val="003D6475"/>
    <w:rsid w:val="003E375C"/>
    <w:rsid w:val="003E3D23"/>
    <w:rsid w:val="003E6FA6"/>
    <w:rsid w:val="003E7E67"/>
    <w:rsid w:val="003F01C4"/>
    <w:rsid w:val="003F0445"/>
    <w:rsid w:val="003F0CF0"/>
    <w:rsid w:val="003F3289"/>
    <w:rsid w:val="003F71CB"/>
    <w:rsid w:val="00400D8B"/>
    <w:rsid w:val="00401FCF"/>
    <w:rsid w:val="004105B9"/>
    <w:rsid w:val="004110FB"/>
    <w:rsid w:val="00411853"/>
    <w:rsid w:val="004148F9"/>
    <w:rsid w:val="00416C5B"/>
    <w:rsid w:val="0042084E"/>
    <w:rsid w:val="00424D65"/>
    <w:rsid w:val="00435D7D"/>
    <w:rsid w:val="00436F62"/>
    <w:rsid w:val="004376EA"/>
    <w:rsid w:val="00442C6C"/>
    <w:rsid w:val="00443CBE"/>
    <w:rsid w:val="004441BC"/>
    <w:rsid w:val="004450DF"/>
    <w:rsid w:val="00451575"/>
    <w:rsid w:val="0045230A"/>
    <w:rsid w:val="0045349F"/>
    <w:rsid w:val="004560C6"/>
    <w:rsid w:val="00457337"/>
    <w:rsid w:val="0046021C"/>
    <w:rsid w:val="00461AEB"/>
    <w:rsid w:val="0046244C"/>
    <w:rsid w:val="00463D23"/>
    <w:rsid w:val="0047156E"/>
    <w:rsid w:val="0047372D"/>
    <w:rsid w:val="004743DD"/>
    <w:rsid w:val="00474CEA"/>
    <w:rsid w:val="00483968"/>
    <w:rsid w:val="00484F86"/>
    <w:rsid w:val="00490746"/>
    <w:rsid w:val="00490852"/>
    <w:rsid w:val="004909D3"/>
    <w:rsid w:val="004946F4"/>
    <w:rsid w:val="0049487E"/>
    <w:rsid w:val="00496F07"/>
    <w:rsid w:val="004A15E1"/>
    <w:rsid w:val="004A1D29"/>
    <w:rsid w:val="004A3E81"/>
    <w:rsid w:val="004A5C62"/>
    <w:rsid w:val="004A707D"/>
    <w:rsid w:val="004C0B5A"/>
    <w:rsid w:val="004C673F"/>
    <w:rsid w:val="004C6EBB"/>
    <w:rsid w:val="004C6EEE"/>
    <w:rsid w:val="004C702B"/>
    <w:rsid w:val="004D016B"/>
    <w:rsid w:val="004D1B22"/>
    <w:rsid w:val="004D36F2"/>
    <w:rsid w:val="004D6D82"/>
    <w:rsid w:val="004E3344"/>
    <w:rsid w:val="004E4649"/>
    <w:rsid w:val="004E5C2B"/>
    <w:rsid w:val="004E62C5"/>
    <w:rsid w:val="004F00DD"/>
    <w:rsid w:val="004F2133"/>
    <w:rsid w:val="004F229A"/>
    <w:rsid w:val="004F55F1"/>
    <w:rsid w:val="004F6936"/>
    <w:rsid w:val="00503DC6"/>
    <w:rsid w:val="005061AB"/>
    <w:rsid w:val="00506F5D"/>
    <w:rsid w:val="005126D0"/>
    <w:rsid w:val="00517840"/>
    <w:rsid w:val="00520AB8"/>
    <w:rsid w:val="00520F51"/>
    <w:rsid w:val="0053010D"/>
    <w:rsid w:val="00531197"/>
    <w:rsid w:val="005330A2"/>
    <w:rsid w:val="005340C7"/>
    <w:rsid w:val="00534E87"/>
    <w:rsid w:val="00535F9C"/>
    <w:rsid w:val="00536499"/>
    <w:rsid w:val="00540467"/>
    <w:rsid w:val="00543903"/>
    <w:rsid w:val="00544EAB"/>
    <w:rsid w:val="00546357"/>
    <w:rsid w:val="00546E29"/>
    <w:rsid w:val="00547A95"/>
    <w:rsid w:val="005514C5"/>
    <w:rsid w:val="00555B7E"/>
    <w:rsid w:val="00561942"/>
    <w:rsid w:val="00562751"/>
    <w:rsid w:val="0056575B"/>
    <w:rsid w:val="0056705A"/>
    <w:rsid w:val="00572031"/>
    <w:rsid w:val="00576E84"/>
    <w:rsid w:val="00581CF6"/>
    <w:rsid w:val="00583341"/>
    <w:rsid w:val="005855BC"/>
    <w:rsid w:val="00586A36"/>
    <w:rsid w:val="0058757E"/>
    <w:rsid w:val="0059059C"/>
    <w:rsid w:val="00594C1B"/>
    <w:rsid w:val="00596A4B"/>
    <w:rsid w:val="00597507"/>
    <w:rsid w:val="005A3C8B"/>
    <w:rsid w:val="005A6333"/>
    <w:rsid w:val="005A7647"/>
    <w:rsid w:val="005B21B6"/>
    <w:rsid w:val="005B7A63"/>
    <w:rsid w:val="005C4352"/>
    <w:rsid w:val="005C49DA"/>
    <w:rsid w:val="005C50F3"/>
    <w:rsid w:val="005C5D91"/>
    <w:rsid w:val="005D07B8"/>
    <w:rsid w:val="005D6597"/>
    <w:rsid w:val="005E14E7"/>
    <w:rsid w:val="005E447E"/>
    <w:rsid w:val="005E7961"/>
    <w:rsid w:val="005F023E"/>
    <w:rsid w:val="005F0775"/>
    <w:rsid w:val="005F0CF5"/>
    <w:rsid w:val="005F21EB"/>
    <w:rsid w:val="00602BEA"/>
    <w:rsid w:val="00605908"/>
    <w:rsid w:val="006065A5"/>
    <w:rsid w:val="00610933"/>
    <w:rsid w:val="00610D7C"/>
    <w:rsid w:val="00613414"/>
    <w:rsid w:val="006139B1"/>
    <w:rsid w:val="00616170"/>
    <w:rsid w:val="0062408D"/>
    <w:rsid w:val="00627DA7"/>
    <w:rsid w:val="006306BA"/>
    <w:rsid w:val="006358B4"/>
    <w:rsid w:val="006371A6"/>
    <w:rsid w:val="00641145"/>
    <w:rsid w:val="006419AA"/>
    <w:rsid w:val="00644B1D"/>
    <w:rsid w:val="00644B7E"/>
    <w:rsid w:val="00646A68"/>
    <w:rsid w:val="0065092E"/>
    <w:rsid w:val="00653094"/>
    <w:rsid w:val="006533B5"/>
    <w:rsid w:val="006537A9"/>
    <w:rsid w:val="006557A7"/>
    <w:rsid w:val="00656290"/>
    <w:rsid w:val="00657303"/>
    <w:rsid w:val="00661766"/>
    <w:rsid w:val="006621D7"/>
    <w:rsid w:val="0066225A"/>
    <w:rsid w:val="0066302A"/>
    <w:rsid w:val="00670597"/>
    <w:rsid w:val="00673388"/>
    <w:rsid w:val="00673A34"/>
    <w:rsid w:val="006768DF"/>
    <w:rsid w:val="00677574"/>
    <w:rsid w:val="00680066"/>
    <w:rsid w:val="0068454C"/>
    <w:rsid w:val="00691B62"/>
    <w:rsid w:val="006940DA"/>
    <w:rsid w:val="00695B85"/>
    <w:rsid w:val="006A18C2"/>
    <w:rsid w:val="006A20DB"/>
    <w:rsid w:val="006A2472"/>
    <w:rsid w:val="006B077C"/>
    <w:rsid w:val="006C1A4B"/>
    <w:rsid w:val="006C1A67"/>
    <w:rsid w:val="006D2A3F"/>
    <w:rsid w:val="006D6B68"/>
    <w:rsid w:val="006E138B"/>
    <w:rsid w:val="006E7872"/>
    <w:rsid w:val="006F1FDC"/>
    <w:rsid w:val="006F29FB"/>
    <w:rsid w:val="006F36B5"/>
    <w:rsid w:val="006F3AD0"/>
    <w:rsid w:val="007007E3"/>
    <w:rsid w:val="007013EF"/>
    <w:rsid w:val="0070231D"/>
    <w:rsid w:val="007023E0"/>
    <w:rsid w:val="00704627"/>
    <w:rsid w:val="00704A6E"/>
    <w:rsid w:val="00707A0C"/>
    <w:rsid w:val="007132E1"/>
    <w:rsid w:val="00715E74"/>
    <w:rsid w:val="00720E63"/>
    <w:rsid w:val="007216AA"/>
    <w:rsid w:val="00721AB5"/>
    <w:rsid w:val="00721D66"/>
    <w:rsid w:val="00721DEF"/>
    <w:rsid w:val="00722AAB"/>
    <w:rsid w:val="00723065"/>
    <w:rsid w:val="00724A43"/>
    <w:rsid w:val="00724E6D"/>
    <w:rsid w:val="00727FA3"/>
    <w:rsid w:val="007302E1"/>
    <w:rsid w:val="007346E4"/>
    <w:rsid w:val="00735BE8"/>
    <w:rsid w:val="00735D59"/>
    <w:rsid w:val="00740F22"/>
    <w:rsid w:val="00741F1A"/>
    <w:rsid w:val="007450F8"/>
    <w:rsid w:val="0074696E"/>
    <w:rsid w:val="00750135"/>
    <w:rsid w:val="0075285D"/>
    <w:rsid w:val="0075453E"/>
    <w:rsid w:val="00754E36"/>
    <w:rsid w:val="00763139"/>
    <w:rsid w:val="00764D62"/>
    <w:rsid w:val="0076737C"/>
    <w:rsid w:val="00772D5E"/>
    <w:rsid w:val="00772EE1"/>
    <w:rsid w:val="00776928"/>
    <w:rsid w:val="00782F2C"/>
    <w:rsid w:val="00786A4B"/>
    <w:rsid w:val="00786F16"/>
    <w:rsid w:val="00790189"/>
    <w:rsid w:val="00793478"/>
    <w:rsid w:val="00796E20"/>
    <w:rsid w:val="007972D3"/>
    <w:rsid w:val="00797C32"/>
    <w:rsid w:val="00797FA8"/>
    <w:rsid w:val="007A3943"/>
    <w:rsid w:val="007A57F6"/>
    <w:rsid w:val="007B0914"/>
    <w:rsid w:val="007B1374"/>
    <w:rsid w:val="007B589F"/>
    <w:rsid w:val="007B6186"/>
    <w:rsid w:val="007C7301"/>
    <w:rsid w:val="007C7859"/>
    <w:rsid w:val="007C7AA6"/>
    <w:rsid w:val="007D0A10"/>
    <w:rsid w:val="007D1EDC"/>
    <w:rsid w:val="007D2BDE"/>
    <w:rsid w:val="007D2FB6"/>
    <w:rsid w:val="007D3EA2"/>
    <w:rsid w:val="007D4D5A"/>
    <w:rsid w:val="007D6ECA"/>
    <w:rsid w:val="007D7612"/>
    <w:rsid w:val="007E0DE2"/>
    <w:rsid w:val="007E5373"/>
    <w:rsid w:val="007F0945"/>
    <w:rsid w:val="007F31B6"/>
    <w:rsid w:val="007F546C"/>
    <w:rsid w:val="007F665E"/>
    <w:rsid w:val="00800412"/>
    <w:rsid w:val="0080587B"/>
    <w:rsid w:val="00806468"/>
    <w:rsid w:val="00815028"/>
    <w:rsid w:val="00816735"/>
    <w:rsid w:val="00820141"/>
    <w:rsid w:val="00820E0C"/>
    <w:rsid w:val="008219AF"/>
    <w:rsid w:val="008260DA"/>
    <w:rsid w:val="00830209"/>
    <w:rsid w:val="00831C42"/>
    <w:rsid w:val="00833507"/>
    <w:rsid w:val="00837D08"/>
    <w:rsid w:val="00846D5F"/>
    <w:rsid w:val="008516F2"/>
    <w:rsid w:val="00852EE6"/>
    <w:rsid w:val="00853EE4"/>
    <w:rsid w:val="00855535"/>
    <w:rsid w:val="00860662"/>
    <w:rsid w:val="00862493"/>
    <w:rsid w:val="008633F0"/>
    <w:rsid w:val="00864F8C"/>
    <w:rsid w:val="008658D9"/>
    <w:rsid w:val="00867D9D"/>
    <w:rsid w:val="00871CAD"/>
    <w:rsid w:val="00872E0A"/>
    <w:rsid w:val="0087348E"/>
    <w:rsid w:val="00875285"/>
    <w:rsid w:val="008770B0"/>
    <w:rsid w:val="00884B62"/>
    <w:rsid w:val="0088529C"/>
    <w:rsid w:val="0089032B"/>
    <w:rsid w:val="0089270A"/>
    <w:rsid w:val="00893AF6"/>
    <w:rsid w:val="00894BC4"/>
    <w:rsid w:val="008A07A8"/>
    <w:rsid w:val="008A6289"/>
    <w:rsid w:val="008A6BAC"/>
    <w:rsid w:val="008A7280"/>
    <w:rsid w:val="008B0D0A"/>
    <w:rsid w:val="008B2EE4"/>
    <w:rsid w:val="008B4D3D"/>
    <w:rsid w:val="008B57C7"/>
    <w:rsid w:val="008C2F92"/>
    <w:rsid w:val="008C60DC"/>
    <w:rsid w:val="008C748D"/>
    <w:rsid w:val="008D243F"/>
    <w:rsid w:val="008D4236"/>
    <w:rsid w:val="008D462F"/>
    <w:rsid w:val="008E2DAA"/>
    <w:rsid w:val="008E4376"/>
    <w:rsid w:val="008F523E"/>
    <w:rsid w:val="008F765E"/>
    <w:rsid w:val="00900719"/>
    <w:rsid w:val="00901CA9"/>
    <w:rsid w:val="00903BE1"/>
    <w:rsid w:val="00906490"/>
    <w:rsid w:val="0091010E"/>
    <w:rsid w:val="009111B2"/>
    <w:rsid w:val="00913D8C"/>
    <w:rsid w:val="009148E4"/>
    <w:rsid w:val="00922334"/>
    <w:rsid w:val="00924AE1"/>
    <w:rsid w:val="009269B1"/>
    <w:rsid w:val="009277B3"/>
    <w:rsid w:val="0093315F"/>
    <w:rsid w:val="00937BD9"/>
    <w:rsid w:val="00941DC5"/>
    <w:rsid w:val="00943D70"/>
    <w:rsid w:val="00945561"/>
    <w:rsid w:val="00950E2C"/>
    <w:rsid w:val="00951D50"/>
    <w:rsid w:val="009525EB"/>
    <w:rsid w:val="00961368"/>
    <w:rsid w:val="00961400"/>
    <w:rsid w:val="00963646"/>
    <w:rsid w:val="00964BBB"/>
    <w:rsid w:val="0097034D"/>
    <w:rsid w:val="0097122E"/>
    <w:rsid w:val="009817CA"/>
    <w:rsid w:val="009853E1"/>
    <w:rsid w:val="00986524"/>
    <w:rsid w:val="00986E6B"/>
    <w:rsid w:val="0099137C"/>
    <w:rsid w:val="00991769"/>
    <w:rsid w:val="00994386"/>
    <w:rsid w:val="00994A2F"/>
    <w:rsid w:val="00994E97"/>
    <w:rsid w:val="00996541"/>
    <w:rsid w:val="009A279E"/>
    <w:rsid w:val="009B0A6F"/>
    <w:rsid w:val="009B4852"/>
    <w:rsid w:val="009B59E9"/>
    <w:rsid w:val="009C23F3"/>
    <w:rsid w:val="009C388A"/>
    <w:rsid w:val="009C7A7E"/>
    <w:rsid w:val="009D02E8"/>
    <w:rsid w:val="009D2ED0"/>
    <w:rsid w:val="009D51D0"/>
    <w:rsid w:val="009D6396"/>
    <w:rsid w:val="009D70A4"/>
    <w:rsid w:val="009E08D1"/>
    <w:rsid w:val="009E1B95"/>
    <w:rsid w:val="009E496F"/>
    <w:rsid w:val="009E4B0D"/>
    <w:rsid w:val="009E6FE6"/>
    <w:rsid w:val="009E7F92"/>
    <w:rsid w:val="009F02A3"/>
    <w:rsid w:val="009F2F27"/>
    <w:rsid w:val="009F66FB"/>
    <w:rsid w:val="009F6BCB"/>
    <w:rsid w:val="009F7B78"/>
    <w:rsid w:val="00A0057A"/>
    <w:rsid w:val="00A04049"/>
    <w:rsid w:val="00A113E3"/>
    <w:rsid w:val="00A11421"/>
    <w:rsid w:val="00A14FB0"/>
    <w:rsid w:val="00A157B1"/>
    <w:rsid w:val="00A16C49"/>
    <w:rsid w:val="00A22229"/>
    <w:rsid w:val="00A2381E"/>
    <w:rsid w:val="00A300DE"/>
    <w:rsid w:val="00A34DFE"/>
    <w:rsid w:val="00A3641C"/>
    <w:rsid w:val="00A44882"/>
    <w:rsid w:val="00A54715"/>
    <w:rsid w:val="00A6061C"/>
    <w:rsid w:val="00A62D44"/>
    <w:rsid w:val="00A63BD6"/>
    <w:rsid w:val="00A6579E"/>
    <w:rsid w:val="00A65A07"/>
    <w:rsid w:val="00A65FEE"/>
    <w:rsid w:val="00A704C0"/>
    <w:rsid w:val="00A7161C"/>
    <w:rsid w:val="00A7344B"/>
    <w:rsid w:val="00A77AA3"/>
    <w:rsid w:val="00A8205D"/>
    <w:rsid w:val="00A8446E"/>
    <w:rsid w:val="00A872E5"/>
    <w:rsid w:val="00A8731A"/>
    <w:rsid w:val="00A90DA7"/>
    <w:rsid w:val="00A95E3B"/>
    <w:rsid w:val="00A96067"/>
    <w:rsid w:val="00A9610D"/>
    <w:rsid w:val="00A96E65"/>
    <w:rsid w:val="00A97C72"/>
    <w:rsid w:val="00AA2FA7"/>
    <w:rsid w:val="00AA5EDA"/>
    <w:rsid w:val="00AA6070"/>
    <w:rsid w:val="00AA63D4"/>
    <w:rsid w:val="00AB04F9"/>
    <w:rsid w:val="00AB06E8"/>
    <w:rsid w:val="00AB1CD3"/>
    <w:rsid w:val="00AB352F"/>
    <w:rsid w:val="00AB5739"/>
    <w:rsid w:val="00AC274B"/>
    <w:rsid w:val="00AC6D36"/>
    <w:rsid w:val="00AD0CBA"/>
    <w:rsid w:val="00AD26E2"/>
    <w:rsid w:val="00AD2ED9"/>
    <w:rsid w:val="00AD525E"/>
    <w:rsid w:val="00AD6D6E"/>
    <w:rsid w:val="00AE126A"/>
    <w:rsid w:val="00AE3005"/>
    <w:rsid w:val="00AE3B0A"/>
    <w:rsid w:val="00AE3BAA"/>
    <w:rsid w:val="00AE59A0"/>
    <w:rsid w:val="00AE7946"/>
    <w:rsid w:val="00AF0C57"/>
    <w:rsid w:val="00AF26F3"/>
    <w:rsid w:val="00AF73C8"/>
    <w:rsid w:val="00B00672"/>
    <w:rsid w:val="00B01515"/>
    <w:rsid w:val="00B01B4D"/>
    <w:rsid w:val="00B01E7E"/>
    <w:rsid w:val="00B02EA9"/>
    <w:rsid w:val="00B04610"/>
    <w:rsid w:val="00B06571"/>
    <w:rsid w:val="00B068BA"/>
    <w:rsid w:val="00B11882"/>
    <w:rsid w:val="00B131B1"/>
    <w:rsid w:val="00B13851"/>
    <w:rsid w:val="00B13B1C"/>
    <w:rsid w:val="00B14C5B"/>
    <w:rsid w:val="00B22291"/>
    <w:rsid w:val="00B2417B"/>
    <w:rsid w:val="00B24E6F"/>
    <w:rsid w:val="00B25FC7"/>
    <w:rsid w:val="00B26CB5"/>
    <w:rsid w:val="00B27256"/>
    <w:rsid w:val="00B2752E"/>
    <w:rsid w:val="00B3069D"/>
    <w:rsid w:val="00B307CC"/>
    <w:rsid w:val="00B32C14"/>
    <w:rsid w:val="00B43AF8"/>
    <w:rsid w:val="00B44281"/>
    <w:rsid w:val="00B44A60"/>
    <w:rsid w:val="00B45141"/>
    <w:rsid w:val="00B5273A"/>
    <w:rsid w:val="00B573C5"/>
    <w:rsid w:val="00B62B50"/>
    <w:rsid w:val="00B635B7"/>
    <w:rsid w:val="00B64362"/>
    <w:rsid w:val="00B65950"/>
    <w:rsid w:val="00B66D9E"/>
    <w:rsid w:val="00B672C0"/>
    <w:rsid w:val="00B731E0"/>
    <w:rsid w:val="00B74169"/>
    <w:rsid w:val="00B75646"/>
    <w:rsid w:val="00B822E9"/>
    <w:rsid w:val="00B8300B"/>
    <w:rsid w:val="00B9028D"/>
    <w:rsid w:val="00B90729"/>
    <w:rsid w:val="00B907DA"/>
    <w:rsid w:val="00B92656"/>
    <w:rsid w:val="00B950BC"/>
    <w:rsid w:val="00B9714C"/>
    <w:rsid w:val="00BA2615"/>
    <w:rsid w:val="00BA31B6"/>
    <w:rsid w:val="00BB257C"/>
    <w:rsid w:val="00BB5CF9"/>
    <w:rsid w:val="00BB6224"/>
    <w:rsid w:val="00BB657C"/>
    <w:rsid w:val="00BB7A10"/>
    <w:rsid w:val="00BC366E"/>
    <w:rsid w:val="00BC4436"/>
    <w:rsid w:val="00BC7D4F"/>
    <w:rsid w:val="00BC7ED7"/>
    <w:rsid w:val="00BD2850"/>
    <w:rsid w:val="00BD78F3"/>
    <w:rsid w:val="00BE28D2"/>
    <w:rsid w:val="00BF4734"/>
    <w:rsid w:val="00BF5A1C"/>
    <w:rsid w:val="00BF7F58"/>
    <w:rsid w:val="00C01381"/>
    <w:rsid w:val="00C0527D"/>
    <w:rsid w:val="00C079B8"/>
    <w:rsid w:val="00C07B16"/>
    <w:rsid w:val="00C123EA"/>
    <w:rsid w:val="00C12A49"/>
    <w:rsid w:val="00C133EE"/>
    <w:rsid w:val="00C160A6"/>
    <w:rsid w:val="00C248A7"/>
    <w:rsid w:val="00C2730D"/>
    <w:rsid w:val="00C27DE9"/>
    <w:rsid w:val="00C33388"/>
    <w:rsid w:val="00C37731"/>
    <w:rsid w:val="00C37AB9"/>
    <w:rsid w:val="00C415EC"/>
    <w:rsid w:val="00C4173A"/>
    <w:rsid w:val="00C4190B"/>
    <w:rsid w:val="00C43BE1"/>
    <w:rsid w:val="00C55EBE"/>
    <w:rsid w:val="00C602FF"/>
    <w:rsid w:val="00C61174"/>
    <w:rsid w:val="00C6148F"/>
    <w:rsid w:val="00C6180B"/>
    <w:rsid w:val="00C62F7A"/>
    <w:rsid w:val="00C63B9C"/>
    <w:rsid w:val="00C6682F"/>
    <w:rsid w:val="00C676CE"/>
    <w:rsid w:val="00C67970"/>
    <w:rsid w:val="00C7275E"/>
    <w:rsid w:val="00C74C5D"/>
    <w:rsid w:val="00C76E88"/>
    <w:rsid w:val="00C84884"/>
    <w:rsid w:val="00C863C4"/>
    <w:rsid w:val="00C93C3E"/>
    <w:rsid w:val="00C952A3"/>
    <w:rsid w:val="00C96D8F"/>
    <w:rsid w:val="00CA12E3"/>
    <w:rsid w:val="00CA1464"/>
    <w:rsid w:val="00CA6611"/>
    <w:rsid w:val="00CB177C"/>
    <w:rsid w:val="00CB2441"/>
    <w:rsid w:val="00CB5B6B"/>
    <w:rsid w:val="00CC28A0"/>
    <w:rsid w:val="00CC2BFD"/>
    <w:rsid w:val="00CC2CAD"/>
    <w:rsid w:val="00CC3D51"/>
    <w:rsid w:val="00CC7F9E"/>
    <w:rsid w:val="00CD26B2"/>
    <w:rsid w:val="00CD3476"/>
    <w:rsid w:val="00CD3FCB"/>
    <w:rsid w:val="00CD495C"/>
    <w:rsid w:val="00CD64DF"/>
    <w:rsid w:val="00CE24A5"/>
    <w:rsid w:val="00CE750D"/>
    <w:rsid w:val="00CF10EA"/>
    <w:rsid w:val="00CF1A5E"/>
    <w:rsid w:val="00CF1BB0"/>
    <w:rsid w:val="00CF2F50"/>
    <w:rsid w:val="00CF3B06"/>
    <w:rsid w:val="00D02919"/>
    <w:rsid w:val="00D03D7C"/>
    <w:rsid w:val="00D04C61"/>
    <w:rsid w:val="00D04D8E"/>
    <w:rsid w:val="00D058ED"/>
    <w:rsid w:val="00D05B8D"/>
    <w:rsid w:val="00D07244"/>
    <w:rsid w:val="00D07EC0"/>
    <w:rsid w:val="00D07F00"/>
    <w:rsid w:val="00D15007"/>
    <w:rsid w:val="00D21873"/>
    <w:rsid w:val="00D33E72"/>
    <w:rsid w:val="00D35BD6"/>
    <w:rsid w:val="00D361B5"/>
    <w:rsid w:val="00D36E16"/>
    <w:rsid w:val="00D411A2"/>
    <w:rsid w:val="00D44BE5"/>
    <w:rsid w:val="00D451C4"/>
    <w:rsid w:val="00D46E3B"/>
    <w:rsid w:val="00D50B9C"/>
    <w:rsid w:val="00D52D73"/>
    <w:rsid w:val="00D52E58"/>
    <w:rsid w:val="00D56C68"/>
    <w:rsid w:val="00D57467"/>
    <w:rsid w:val="00D60F4D"/>
    <w:rsid w:val="00D6324C"/>
    <w:rsid w:val="00D63A22"/>
    <w:rsid w:val="00D64776"/>
    <w:rsid w:val="00D714CC"/>
    <w:rsid w:val="00D75EA7"/>
    <w:rsid w:val="00D76331"/>
    <w:rsid w:val="00D81F21"/>
    <w:rsid w:val="00D836E8"/>
    <w:rsid w:val="00D858A4"/>
    <w:rsid w:val="00D8610E"/>
    <w:rsid w:val="00D90ADF"/>
    <w:rsid w:val="00D91273"/>
    <w:rsid w:val="00D94E94"/>
    <w:rsid w:val="00D95470"/>
    <w:rsid w:val="00D95EB8"/>
    <w:rsid w:val="00DA2619"/>
    <w:rsid w:val="00DA4239"/>
    <w:rsid w:val="00DB0B61"/>
    <w:rsid w:val="00DB1BDF"/>
    <w:rsid w:val="00DB64FE"/>
    <w:rsid w:val="00DC090B"/>
    <w:rsid w:val="00DC2CF1"/>
    <w:rsid w:val="00DC4FCF"/>
    <w:rsid w:val="00DC50E0"/>
    <w:rsid w:val="00DC6386"/>
    <w:rsid w:val="00DC7CF7"/>
    <w:rsid w:val="00DD0171"/>
    <w:rsid w:val="00DD1130"/>
    <w:rsid w:val="00DD168D"/>
    <w:rsid w:val="00DD18CA"/>
    <w:rsid w:val="00DD1951"/>
    <w:rsid w:val="00DD24D4"/>
    <w:rsid w:val="00DD3E6F"/>
    <w:rsid w:val="00DD403D"/>
    <w:rsid w:val="00DD5472"/>
    <w:rsid w:val="00DD6628"/>
    <w:rsid w:val="00DE3250"/>
    <w:rsid w:val="00DE6028"/>
    <w:rsid w:val="00DE78A3"/>
    <w:rsid w:val="00DF1A71"/>
    <w:rsid w:val="00DF68C7"/>
    <w:rsid w:val="00E048C3"/>
    <w:rsid w:val="00E12883"/>
    <w:rsid w:val="00E170DC"/>
    <w:rsid w:val="00E24E90"/>
    <w:rsid w:val="00E26818"/>
    <w:rsid w:val="00E27FFC"/>
    <w:rsid w:val="00E30B15"/>
    <w:rsid w:val="00E34156"/>
    <w:rsid w:val="00E36E77"/>
    <w:rsid w:val="00E3715D"/>
    <w:rsid w:val="00E40181"/>
    <w:rsid w:val="00E42ED7"/>
    <w:rsid w:val="00E46998"/>
    <w:rsid w:val="00E5090F"/>
    <w:rsid w:val="00E577C8"/>
    <w:rsid w:val="00E61DDE"/>
    <w:rsid w:val="00E61E64"/>
    <w:rsid w:val="00E629A1"/>
    <w:rsid w:val="00E63343"/>
    <w:rsid w:val="00E71115"/>
    <w:rsid w:val="00E74C45"/>
    <w:rsid w:val="00E7578A"/>
    <w:rsid w:val="00E767FD"/>
    <w:rsid w:val="00E81F29"/>
    <w:rsid w:val="00E82C55"/>
    <w:rsid w:val="00E851B1"/>
    <w:rsid w:val="00E87E47"/>
    <w:rsid w:val="00E90D37"/>
    <w:rsid w:val="00E92AC3"/>
    <w:rsid w:val="00E953F2"/>
    <w:rsid w:val="00E96F1F"/>
    <w:rsid w:val="00EA7009"/>
    <w:rsid w:val="00EB00E0"/>
    <w:rsid w:val="00EB791C"/>
    <w:rsid w:val="00EC059F"/>
    <w:rsid w:val="00EC1F24"/>
    <w:rsid w:val="00ED0324"/>
    <w:rsid w:val="00ED0DBB"/>
    <w:rsid w:val="00ED17FC"/>
    <w:rsid w:val="00ED5B9B"/>
    <w:rsid w:val="00ED6BAD"/>
    <w:rsid w:val="00ED7447"/>
    <w:rsid w:val="00EE0194"/>
    <w:rsid w:val="00EE1488"/>
    <w:rsid w:val="00EE3166"/>
    <w:rsid w:val="00EE4A74"/>
    <w:rsid w:val="00EE4D5D"/>
    <w:rsid w:val="00EE62E6"/>
    <w:rsid w:val="00EE7A6A"/>
    <w:rsid w:val="00EF109B"/>
    <w:rsid w:val="00EF25FE"/>
    <w:rsid w:val="00EF362A"/>
    <w:rsid w:val="00EF36AF"/>
    <w:rsid w:val="00F00F9C"/>
    <w:rsid w:val="00F013AF"/>
    <w:rsid w:val="00F02ABA"/>
    <w:rsid w:val="00F0437A"/>
    <w:rsid w:val="00F10E93"/>
    <w:rsid w:val="00F11037"/>
    <w:rsid w:val="00F22EF4"/>
    <w:rsid w:val="00F250A9"/>
    <w:rsid w:val="00F30FF4"/>
    <w:rsid w:val="00F32AE9"/>
    <w:rsid w:val="00F331AD"/>
    <w:rsid w:val="00F3380B"/>
    <w:rsid w:val="00F42F8C"/>
    <w:rsid w:val="00F43A37"/>
    <w:rsid w:val="00F446A4"/>
    <w:rsid w:val="00F4641B"/>
    <w:rsid w:val="00F46EB8"/>
    <w:rsid w:val="00F47A62"/>
    <w:rsid w:val="00F511E4"/>
    <w:rsid w:val="00F52576"/>
    <w:rsid w:val="00F52D09"/>
    <w:rsid w:val="00F52E08"/>
    <w:rsid w:val="00F53D0B"/>
    <w:rsid w:val="00F55B21"/>
    <w:rsid w:val="00F56EF6"/>
    <w:rsid w:val="00F64696"/>
    <w:rsid w:val="00F65AA9"/>
    <w:rsid w:val="00F65C14"/>
    <w:rsid w:val="00F6768F"/>
    <w:rsid w:val="00F72C2C"/>
    <w:rsid w:val="00F73838"/>
    <w:rsid w:val="00F75F3B"/>
    <w:rsid w:val="00F76CAB"/>
    <w:rsid w:val="00F772C6"/>
    <w:rsid w:val="00F82620"/>
    <w:rsid w:val="00F82947"/>
    <w:rsid w:val="00F85195"/>
    <w:rsid w:val="00F938BA"/>
    <w:rsid w:val="00F94A4E"/>
    <w:rsid w:val="00FA2C46"/>
    <w:rsid w:val="00FB4CDA"/>
    <w:rsid w:val="00FB693F"/>
    <w:rsid w:val="00FB79F1"/>
    <w:rsid w:val="00FC0F81"/>
    <w:rsid w:val="00FC395C"/>
    <w:rsid w:val="00FC5BB4"/>
    <w:rsid w:val="00FC750D"/>
    <w:rsid w:val="00FD2FEB"/>
    <w:rsid w:val="00FD3257"/>
    <w:rsid w:val="00FD3766"/>
    <w:rsid w:val="00FD47C4"/>
    <w:rsid w:val="00FD5229"/>
    <w:rsid w:val="00FD55EA"/>
    <w:rsid w:val="00FE19A5"/>
    <w:rsid w:val="00FE2DCF"/>
    <w:rsid w:val="00FF1104"/>
    <w:rsid w:val="00FF12A7"/>
    <w:rsid w:val="00FF2E0B"/>
    <w:rsid w:val="00FF2E42"/>
    <w:rsid w:val="00FF2FCE"/>
    <w:rsid w:val="00FF4F7D"/>
    <w:rsid w:val="00FF5998"/>
    <w:rsid w:val="00FF6D9D"/>
    <w:rsid w:val="2BF5517E"/>
    <w:rsid w:val="427945D5"/>
    <w:rsid w:val="637655B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AE3B9AC"/>
  <w15:docId w15:val="{C0DA7D19-4968-485D-BE61-20E38D5F7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1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8"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520AB8"/>
    <w:rPr>
      <w:rFonts w:ascii="Cambria" w:hAnsi="Cambria"/>
      <w:lang w:eastAsia="en-US"/>
    </w:rPr>
  </w:style>
  <w:style w:type="paragraph" w:styleId="Heading1">
    <w:name w:val="heading 1"/>
    <w:next w:val="DPCbody"/>
    <w:link w:val="Heading1Char"/>
    <w:uiPriority w:val="1"/>
    <w:qFormat/>
    <w:rsid w:val="003C2E6A"/>
    <w:pPr>
      <w:keepNext/>
      <w:keepLines/>
      <w:spacing w:before="400" w:after="320" w:line="560" w:lineRule="atLeast"/>
      <w:outlineLvl w:val="0"/>
    </w:pPr>
    <w:rPr>
      <w:rFonts w:asciiTheme="majorHAnsi" w:eastAsia="MS Gothic" w:hAnsiTheme="majorHAnsi" w:cs="Arial"/>
      <w:bCs/>
      <w:color w:val="AF272F" w:themeColor="accent4"/>
      <w:kern w:val="32"/>
      <w:sz w:val="44"/>
      <w:szCs w:val="44"/>
      <w:lang w:eastAsia="en-US"/>
    </w:rPr>
  </w:style>
  <w:style w:type="paragraph" w:styleId="Heading2">
    <w:name w:val="heading 2"/>
    <w:next w:val="DPCbody"/>
    <w:link w:val="Heading2Char"/>
    <w:uiPriority w:val="1"/>
    <w:qFormat/>
    <w:rsid w:val="00C76E88"/>
    <w:pPr>
      <w:keepNext/>
      <w:keepLines/>
      <w:spacing w:before="280" w:after="120"/>
      <w:outlineLvl w:val="1"/>
    </w:pPr>
    <w:rPr>
      <w:rFonts w:asciiTheme="majorHAnsi" w:eastAsia="MS Gothic" w:hAnsiTheme="majorHAnsi"/>
      <w:bCs/>
      <w:iCs/>
      <w:color w:val="AF272F" w:themeColor="accent4"/>
      <w:sz w:val="36"/>
      <w:szCs w:val="36"/>
      <w:lang w:eastAsia="en-US"/>
    </w:rPr>
  </w:style>
  <w:style w:type="paragraph" w:styleId="Heading3">
    <w:name w:val="heading 3"/>
    <w:next w:val="DPCbody"/>
    <w:link w:val="Heading3Char"/>
    <w:uiPriority w:val="1"/>
    <w:qFormat/>
    <w:rsid w:val="00C76E88"/>
    <w:pPr>
      <w:keepNext/>
      <w:keepLines/>
      <w:spacing w:before="320" w:after="80"/>
      <w:outlineLvl w:val="2"/>
    </w:pPr>
    <w:rPr>
      <w:rFonts w:asciiTheme="majorHAnsi" w:eastAsia="MS Gothic" w:hAnsiTheme="majorHAnsi"/>
      <w:b/>
      <w:bCs/>
      <w:color w:val="53565A" w:themeColor="accent6"/>
      <w:sz w:val="32"/>
      <w:szCs w:val="32"/>
      <w:lang w:eastAsia="en-US"/>
    </w:rPr>
  </w:style>
  <w:style w:type="paragraph" w:styleId="Heading4">
    <w:name w:val="heading 4"/>
    <w:next w:val="DPCbody"/>
    <w:link w:val="Heading4Char"/>
    <w:uiPriority w:val="1"/>
    <w:qFormat/>
    <w:rsid w:val="00C76E88"/>
    <w:pPr>
      <w:keepNext/>
      <w:keepLines/>
      <w:spacing w:before="240" w:after="120"/>
      <w:outlineLvl w:val="3"/>
    </w:pPr>
    <w:rPr>
      <w:rFonts w:asciiTheme="majorHAnsi" w:eastAsia="MS Mincho" w:hAnsiTheme="majorHAnsi"/>
      <w:b/>
      <w:bCs/>
      <w:color w:val="AF272F" w:themeColor="accent4"/>
      <w:sz w:val="28"/>
      <w:szCs w:val="28"/>
      <w:lang w:eastAsia="en-US"/>
    </w:rPr>
  </w:style>
  <w:style w:type="paragraph" w:styleId="Heading5">
    <w:name w:val="heading 5"/>
    <w:next w:val="Normal"/>
    <w:link w:val="Heading5Char"/>
    <w:uiPriority w:val="9"/>
    <w:qFormat/>
    <w:rsid w:val="00C76E88"/>
    <w:pPr>
      <w:keepNext/>
      <w:keepLines/>
      <w:suppressAutoHyphens/>
      <w:spacing w:before="240" w:after="120"/>
      <w:outlineLvl w:val="4"/>
    </w:pPr>
    <w:rPr>
      <w:rFonts w:asciiTheme="majorHAnsi" w:eastAsia="MS Mincho" w:hAnsiTheme="majorHAnsi"/>
      <w:b/>
      <w:bCs/>
      <w:i/>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PCbody">
    <w:name w:val="DPC body"/>
    <w:qFormat/>
    <w:rsid w:val="00AF73C8"/>
    <w:pPr>
      <w:spacing w:after="160" w:line="300" w:lineRule="atLeast"/>
    </w:pPr>
    <w:rPr>
      <w:rFonts w:asciiTheme="minorHAnsi" w:eastAsia="Times" w:hAnsiTheme="minorHAnsi" w:cs="Arial"/>
      <w:color w:val="000000" w:themeColor="text1"/>
      <w:sz w:val="24"/>
      <w:szCs w:val="22"/>
      <w:lang w:eastAsia="en-US"/>
    </w:rPr>
  </w:style>
  <w:style w:type="character" w:customStyle="1" w:styleId="Heading1Char">
    <w:name w:val="Heading 1 Char"/>
    <w:link w:val="Heading1"/>
    <w:uiPriority w:val="1"/>
    <w:rsid w:val="003C2E6A"/>
    <w:rPr>
      <w:rFonts w:asciiTheme="majorHAnsi" w:eastAsia="MS Gothic" w:hAnsiTheme="majorHAnsi" w:cs="Arial"/>
      <w:bCs/>
      <w:color w:val="AF272F" w:themeColor="accent4"/>
      <w:kern w:val="32"/>
      <w:sz w:val="44"/>
      <w:szCs w:val="44"/>
      <w:lang w:eastAsia="en-US"/>
    </w:rPr>
  </w:style>
  <w:style w:type="character" w:customStyle="1" w:styleId="Heading2Char">
    <w:name w:val="Heading 2 Char"/>
    <w:link w:val="Heading2"/>
    <w:uiPriority w:val="1"/>
    <w:rsid w:val="00C76E88"/>
    <w:rPr>
      <w:rFonts w:asciiTheme="majorHAnsi" w:eastAsia="MS Gothic" w:hAnsiTheme="majorHAnsi"/>
      <w:bCs/>
      <w:iCs/>
      <w:color w:val="AF272F" w:themeColor="accent4"/>
      <w:sz w:val="36"/>
      <w:szCs w:val="36"/>
      <w:lang w:eastAsia="en-US"/>
    </w:rPr>
  </w:style>
  <w:style w:type="character" w:customStyle="1" w:styleId="Heading3Char">
    <w:name w:val="Heading 3 Char"/>
    <w:link w:val="Heading3"/>
    <w:uiPriority w:val="1"/>
    <w:rsid w:val="00C76E88"/>
    <w:rPr>
      <w:rFonts w:asciiTheme="majorHAnsi" w:eastAsia="MS Gothic" w:hAnsiTheme="majorHAnsi"/>
      <w:b/>
      <w:bCs/>
      <w:color w:val="53565A" w:themeColor="accent6"/>
      <w:sz w:val="32"/>
      <w:szCs w:val="32"/>
      <w:lang w:eastAsia="en-US"/>
    </w:rPr>
  </w:style>
  <w:style w:type="character" w:customStyle="1" w:styleId="Heading4Char">
    <w:name w:val="Heading 4 Char"/>
    <w:link w:val="Heading4"/>
    <w:uiPriority w:val="1"/>
    <w:rsid w:val="00C76E88"/>
    <w:rPr>
      <w:rFonts w:asciiTheme="majorHAnsi" w:eastAsia="MS Mincho" w:hAnsiTheme="majorHAnsi"/>
      <w:b/>
      <w:bCs/>
      <w:color w:val="AF272F" w:themeColor="accent4"/>
      <w:sz w:val="28"/>
      <w:szCs w:val="28"/>
      <w:lang w:eastAsia="en-US"/>
    </w:rPr>
  </w:style>
  <w:style w:type="paragraph" w:styleId="Header">
    <w:name w:val="header"/>
    <w:link w:val="HeaderChar"/>
    <w:rsid w:val="00C76E88"/>
    <w:pPr>
      <w:tabs>
        <w:tab w:val="left" w:pos="9299"/>
      </w:tabs>
    </w:pPr>
    <w:rPr>
      <w:rFonts w:ascii="Arial" w:hAnsi="Arial"/>
      <w:lang w:eastAsia="en-US"/>
    </w:rPr>
  </w:style>
  <w:style w:type="paragraph" w:styleId="Footer">
    <w:name w:val="footer"/>
    <w:basedOn w:val="Normal"/>
    <w:rsid w:val="00C76E88"/>
    <w:pPr>
      <w:tabs>
        <w:tab w:val="right" w:pos="9299"/>
      </w:tabs>
    </w:pPr>
    <w:rPr>
      <w:rFonts w:asciiTheme="majorHAnsi" w:hAnsiTheme="majorHAnsi" w:cs="Arial"/>
    </w:rPr>
  </w:style>
  <w:style w:type="character" w:styleId="FollowedHyperlink">
    <w:name w:val="FollowedHyperlink"/>
    <w:uiPriority w:val="99"/>
    <w:rsid w:val="007D0A10"/>
    <w:rPr>
      <w:color w:val="6633CC"/>
      <w:u w:val="dotted"/>
    </w:rPr>
  </w:style>
  <w:style w:type="paragraph" w:styleId="EndnoteText">
    <w:name w:val="endnote text"/>
    <w:basedOn w:val="Normal"/>
    <w:link w:val="EndnoteTextChar"/>
    <w:semiHidden/>
    <w:rsid w:val="007D0A10"/>
    <w:rPr>
      <w:sz w:val="24"/>
      <w:szCs w:val="24"/>
    </w:rPr>
  </w:style>
  <w:style w:type="character" w:customStyle="1" w:styleId="EndnoteTextChar">
    <w:name w:val="Endnote Text Char"/>
    <w:link w:val="EndnoteText"/>
    <w:semiHidden/>
    <w:rsid w:val="0042084E"/>
    <w:rPr>
      <w:rFonts w:ascii="Cambria" w:hAnsi="Cambri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7D0A10"/>
    <w:tblPr>
      <w:tblInd w:w="108" w:type="dxa"/>
      <w:tblBorders>
        <w:top w:val="single" w:sz="4" w:space="0" w:color="auto"/>
        <w:bottom w:val="single" w:sz="4" w:space="0" w:color="auto"/>
        <w:insideH w:val="single" w:sz="4" w:space="0" w:color="auto"/>
      </w:tblBorders>
    </w:tblPr>
  </w:style>
  <w:style w:type="paragraph" w:customStyle="1" w:styleId="DPCbodynospace">
    <w:name w:val="DPC body no space"/>
    <w:basedOn w:val="DPCbody"/>
    <w:uiPriority w:val="1"/>
    <w:rsid w:val="00C76E88"/>
    <w:pPr>
      <w:spacing w:after="0"/>
    </w:pPr>
  </w:style>
  <w:style w:type="paragraph" w:customStyle="1" w:styleId="DPCbullet1">
    <w:name w:val="DPC bullet 1"/>
    <w:basedOn w:val="DPCbody"/>
    <w:qFormat/>
    <w:rsid w:val="00C76E88"/>
    <w:pPr>
      <w:spacing w:after="60"/>
    </w:pPr>
  </w:style>
  <w:style w:type="paragraph" w:styleId="DocumentMap">
    <w:name w:val="Document Map"/>
    <w:basedOn w:val="Normal"/>
    <w:link w:val="DocumentMapChar"/>
    <w:uiPriority w:val="99"/>
    <w:semiHidden/>
    <w:unhideWhenUsed/>
    <w:rsid w:val="007D0A10"/>
    <w:rPr>
      <w:rFonts w:ascii="Lucida Grande" w:hAnsi="Lucida Grande" w:cs="Lucida Grande"/>
      <w:sz w:val="24"/>
      <w:szCs w:val="24"/>
    </w:rPr>
  </w:style>
  <w:style w:type="character" w:customStyle="1" w:styleId="DocumentMapChar">
    <w:name w:val="Document Map Char"/>
    <w:link w:val="DocumentMap"/>
    <w:uiPriority w:val="99"/>
    <w:semiHidden/>
    <w:rsid w:val="007D0A10"/>
    <w:rPr>
      <w:rFonts w:ascii="Lucida Grande" w:hAnsi="Lucida Grande" w:cs="Lucida Grande"/>
      <w:sz w:val="24"/>
      <w:szCs w:val="24"/>
      <w:lang w:eastAsia="en-US"/>
    </w:rPr>
  </w:style>
  <w:style w:type="character" w:styleId="PageNumber">
    <w:name w:val="page number"/>
    <w:basedOn w:val="DefaultParagraphFont"/>
    <w:semiHidden/>
    <w:rsid w:val="007D0A10"/>
  </w:style>
  <w:style w:type="paragraph" w:styleId="TOC1">
    <w:name w:val="toc 1"/>
    <w:uiPriority w:val="39"/>
    <w:rsid w:val="007D0A10"/>
    <w:pPr>
      <w:keepLines/>
      <w:tabs>
        <w:tab w:val="right" w:pos="9072"/>
      </w:tabs>
      <w:spacing w:before="200" w:after="60"/>
      <w:ind w:right="680"/>
    </w:pPr>
    <w:rPr>
      <w:rFonts w:asciiTheme="minorHAnsi" w:hAnsiTheme="minorHAnsi"/>
      <w:b/>
      <w:noProof/>
      <w:sz w:val="24"/>
      <w:szCs w:val="24"/>
      <w:lang w:eastAsia="en-US"/>
    </w:rPr>
  </w:style>
  <w:style w:type="character" w:customStyle="1" w:styleId="Heading5Char">
    <w:name w:val="Heading 5 Char"/>
    <w:link w:val="Heading5"/>
    <w:uiPriority w:val="9"/>
    <w:rsid w:val="00C76E88"/>
    <w:rPr>
      <w:rFonts w:asciiTheme="majorHAnsi" w:eastAsia="MS Mincho" w:hAnsiTheme="majorHAnsi"/>
      <w:b/>
      <w:bCs/>
      <w:i/>
      <w:sz w:val="24"/>
      <w:szCs w:val="24"/>
      <w:lang w:eastAsia="en-US"/>
    </w:rPr>
  </w:style>
  <w:style w:type="paragraph" w:styleId="TOC2">
    <w:name w:val="toc 2"/>
    <w:uiPriority w:val="39"/>
    <w:rsid w:val="007D0A10"/>
    <w:pPr>
      <w:keepLines/>
      <w:tabs>
        <w:tab w:val="right" w:pos="9072"/>
      </w:tabs>
      <w:spacing w:after="60"/>
      <w:ind w:right="680"/>
    </w:pPr>
    <w:rPr>
      <w:rFonts w:asciiTheme="minorHAnsi" w:hAnsiTheme="minorHAnsi"/>
      <w:noProof/>
      <w:sz w:val="24"/>
      <w:szCs w:val="24"/>
      <w:lang w:eastAsia="en-US"/>
    </w:rPr>
  </w:style>
  <w:style w:type="paragraph" w:styleId="TOC3">
    <w:name w:val="toc 3"/>
    <w:basedOn w:val="Normal"/>
    <w:next w:val="Normal"/>
    <w:autoRedefine/>
    <w:uiPriority w:val="39"/>
    <w:semiHidden/>
    <w:rsid w:val="007D0A10"/>
    <w:pPr>
      <w:tabs>
        <w:tab w:val="right" w:leader="dot" w:pos="9299"/>
      </w:tabs>
      <w:spacing w:after="60" w:line="270" w:lineRule="atLeast"/>
      <w:ind w:left="284" w:right="680"/>
    </w:pPr>
    <w:rPr>
      <w:rFonts w:ascii="Arial" w:hAnsi="Arial" w:cs="Arial"/>
    </w:rPr>
  </w:style>
  <w:style w:type="paragraph" w:styleId="TOC4">
    <w:name w:val="toc 4"/>
    <w:basedOn w:val="Normal"/>
    <w:next w:val="Normal"/>
    <w:autoRedefine/>
    <w:uiPriority w:val="39"/>
    <w:semiHidden/>
    <w:rsid w:val="007D0A10"/>
    <w:pPr>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7D0A10"/>
    <w:pPr>
      <w:ind w:left="800"/>
    </w:pPr>
  </w:style>
  <w:style w:type="paragraph" w:styleId="TOC6">
    <w:name w:val="toc 6"/>
    <w:basedOn w:val="Normal"/>
    <w:next w:val="Normal"/>
    <w:autoRedefine/>
    <w:semiHidden/>
    <w:rsid w:val="007D0A10"/>
    <w:pPr>
      <w:ind w:left="1000"/>
    </w:pPr>
  </w:style>
  <w:style w:type="paragraph" w:styleId="TOC7">
    <w:name w:val="toc 7"/>
    <w:basedOn w:val="Normal"/>
    <w:next w:val="Normal"/>
    <w:autoRedefine/>
    <w:semiHidden/>
    <w:rsid w:val="007D0A10"/>
    <w:pPr>
      <w:ind w:left="1200"/>
    </w:pPr>
  </w:style>
  <w:style w:type="paragraph" w:styleId="TOC8">
    <w:name w:val="toc 8"/>
    <w:basedOn w:val="Normal"/>
    <w:next w:val="Normal"/>
    <w:autoRedefine/>
    <w:semiHidden/>
    <w:rsid w:val="007D0A10"/>
    <w:pPr>
      <w:ind w:left="1400"/>
    </w:pPr>
  </w:style>
  <w:style w:type="paragraph" w:styleId="TOC9">
    <w:name w:val="toc 9"/>
    <w:basedOn w:val="Normal"/>
    <w:next w:val="Normal"/>
    <w:autoRedefine/>
    <w:semiHidden/>
    <w:rsid w:val="007D0A10"/>
    <w:pPr>
      <w:ind w:left="1600"/>
    </w:pPr>
  </w:style>
  <w:style w:type="paragraph" w:customStyle="1" w:styleId="DPCtabletext">
    <w:name w:val="DPC table text"/>
    <w:uiPriority w:val="3"/>
    <w:qFormat/>
    <w:rsid w:val="00C76E88"/>
    <w:pPr>
      <w:spacing w:before="60" w:after="40"/>
    </w:pPr>
    <w:rPr>
      <w:rFonts w:asciiTheme="minorHAnsi" w:hAnsiTheme="minorHAnsi"/>
      <w:color w:val="000000" w:themeColor="text1"/>
      <w:lang w:eastAsia="en-US"/>
    </w:rPr>
  </w:style>
  <w:style w:type="paragraph" w:customStyle="1" w:styleId="DPCtablecaption">
    <w:name w:val="DPC table caption"/>
    <w:next w:val="DPCbody"/>
    <w:uiPriority w:val="3"/>
    <w:qFormat/>
    <w:rsid w:val="00C76E88"/>
    <w:pPr>
      <w:keepNext/>
      <w:keepLines/>
      <w:spacing w:before="240" w:after="120" w:line="270" w:lineRule="exact"/>
    </w:pPr>
    <w:rPr>
      <w:rFonts w:asciiTheme="majorHAnsi" w:hAnsiTheme="majorHAnsi"/>
      <w:b/>
      <w:color w:val="000000" w:themeColor="text1"/>
      <w:sz w:val="22"/>
      <w:szCs w:val="22"/>
      <w:lang w:eastAsia="en-US"/>
    </w:rPr>
  </w:style>
  <w:style w:type="paragraph" w:customStyle="1" w:styleId="DPCmainheading">
    <w:name w:val="DPC main heading"/>
    <w:uiPriority w:val="8"/>
    <w:rsid w:val="000D7DEE"/>
    <w:pPr>
      <w:spacing w:line="600" w:lineRule="atLeast"/>
    </w:pPr>
    <w:rPr>
      <w:rFonts w:asciiTheme="majorHAnsi" w:hAnsiTheme="majorHAnsi"/>
      <w:color w:val="FFFFFF" w:themeColor="background1"/>
      <w:sz w:val="50"/>
      <w:szCs w:val="50"/>
      <w:lang w:eastAsia="en-US"/>
    </w:rPr>
  </w:style>
  <w:style w:type="character" w:styleId="FootnoteReference">
    <w:name w:val="footnote reference"/>
    <w:uiPriority w:val="8"/>
    <w:rsid w:val="007D0A10"/>
    <w:rPr>
      <w:vertAlign w:val="superscript"/>
    </w:rPr>
  </w:style>
  <w:style w:type="paragraph" w:customStyle="1" w:styleId="DPCfigurecaption">
    <w:name w:val="DPC figure caption"/>
    <w:next w:val="DPCbody"/>
    <w:uiPriority w:val="8"/>
    <w:rsid w:val="00C76E88"/>
    <w:pPr>
      <w:keepNext/>
      <w:keepLines/>
      <w:spacing w:before="240" w:after="120"/>
    </w:pPr>
    <w:rPr>
      <w:rFonts w:asciiTheme="minorHAnsi" w:hAnsiTheme="minorHAnsi"/>
      <w:b/>
      <w:color w:val="000000" w:themeColor="text1"/>
      <w:sz w:val="22"/>
      <w:szCs w:val="22"/>
      <w:lang w:eastAsia="en-US"/>
    </w:rPr>
  </w:style>
  <w:style w:type="paragraph" w:customStyle="1" w:styleId="DPCbullet2">
    <w:name w:val="DPC bullet 2"/>
    <w:basedOn w:val="DPCbody"/>
    <w:uiPriority w:val="2"/>
    <w:qFormat/>
    <w:rsid w:val="00C76E88"/>
    <w:pPr>
      <w:numPr>
        <w:ilvl w:val="2"/>
        <w:numId w:val="4"/>
      </w:numPr>
      <w:spacing w:after="60"/>
    </w:pPr>
  </w:style>
  <w:style w:type="paragraph" w:customStyle="1" w:styleId="DPCtablebullet">
    <w:name w:val="DPC table bullet"/>
    <w:basedOn w:val="DPCtabletext"/>
    <w:uiPriority w:val="3"/>
    <w:qFormat/>
    <w:rsid w:val="00C76E88"/>
    <w:pPr>
      <w:numPr>
        <w:ilvl w:val="6"/>
        <w:numId w:val="4"/>
      </w:numPr>
    </w:pPr>
  </w:style>
  <w:style w:type="paragraph" w:customStyle="1" w:styleId="DPCtablecolhead">
    <w:name w:val="DPC table col head"/>
    <w:uiPriority w:val="3"/>
    <w:qFormat/>
    <w:rsid w:val="00C76E88"/>
    <w:pPr>
      <w:spacing w:before="80" w:after="60"/>
    </w:pPr>
    <w:rPr>
      <w:rFonts w:asciiTheme="majorHAnsi" w:hAnsiTheme="majorHAnsi"/>
      <w:b/>
      <w:color w:val="AF272F" w:themeColor="accent4"/>
      <w:lang w:eastAsia="en-US"/>
    </w:rPr>
  </w:style>
  <w:style w:type="paragraph" w:customStyle="1" w:styleId="DPCbulletindent">
    <w:name w:val="DPC bullet indent"/>
    <w:basedOn w:val="DPCbody"/>
    <w:rsid w:val="00C76E88"/>
    <w:pPr>
      <w:numPr>
        <w:ilvl w:val="4"/>
        <w:numId w:val="4"/>
      </w:numPr>
      <w:spacing w:after="60"/>
    </w:pPr>
  </w:style>
  <w:style w:type="character" w:styleId="Hyperlink">
    <w:name w:val="Hyperlink"/>
    <w:uiPriority w:val="99"/>
    <w:rsid w:val="007D0A10"/>
    <w:rPr>
      <w:color w:val="3366FF"/>
      <w:u w:val="dotted"/>
    </w:rPr>
  </w:style>
  <w:style w:type="paragraph" w:customStyle="1" w:styleId="DPCbullet1lastline">
    <w:name w:val="DPC bullet 1 last line"/>
    <w:basedOn w:val="DPCbullet1"/>
    <w:qFormat/>
    <w:rsid w:val="00C76E88"/>
    <w:pPr>
      <w:numPr>
        <w:ilvl w:val="1"/>
      </w:numPr>
      <w:spacing w:after="160"/>
    </w:pPr>
  </w:style>
  <w:style w:type="paragraph" w:customStyle="1" w:styleId="DPCbullet2lastline">
    <w:name w:val="DPC bullet 2 last line"/>
    <w:basedOn w:val="DPCbullet2"/>
    <w:uiPriority w:val="2"/>
    <w:rsid w:val="00C76E88"/>
    <w:pPr>
      <w:numPr>
        <w:ilvl w:val="3"/>
      </w:numPr>
      <w:spacing w:after="160"/>
    </w:pPr>
  </w:style>
  <w:style w:type="paragraph" w:customStyle="1" w:styleId="DPCmainsubheading">
    <w:name w:val="DPC main subheading"/>
    <w:uiPriority w:val="8"/>
    <w:rsid w:val="00CE750D"/>
    <w:rPr>
      <w:rFonts w:asciiTheme="majorHAnsi" w:hAnsiTheme="majorHAnsi"/>
      <w:color w:val="FFFFFF" w:themeColor="background1"/>
      <w:sz w:val="36"/>
      <w:szCs w:val="36"/>
      <w:lang w:eastAsia="en-US"/>
    </w:rPr>
  </w:style>
  <w:style w:type="paragraph" w:styleId="FootnoteText">
    <w:name w:val="footnote text"/>
    <w:link w:val="FootnoteTextChar"/>
    <w:uiPriority w:val="8"/>
    <w:rsid w:val="000D7DEE"/>
    <w:pPr>
      <w:spacing w:before="60" w:after="60"/>
    </w:pPr>
    <w:rPr>
      <w:rFonts w:asciiTheme="minorHAnsi" w:eastAsia="MS Gothic" w:hAnsiTheme="minorHAnsi"/>
      <w:sz w:val="18"/>
      <w:szCs w:val="18"/>
      <w:lang w:eastAsia="en-US"/>
    </w:rPr>
  </w:style>
  <w:style w:type="character" w:customStyle="1" w:styleId="FootnoteTextChar">
    <w:name w:val="Footnote Text Char"/>
    <w:link w:val="FootnoteText"/>
    <w:uiPriority w:val="8"/>
    <w:rsid w:val="000D7DEE"/>
    <w:rPr>
      <w:rFonts w:asciiTheme="minorHAnsi" w:eastAsia="MS Gothic" w:hAnsiTheme="minorHAnsi"/>
      <w:sz w:val="18"/>
      <w:szCs w:val="18"/>
      <w:lang w:eastAsia="en-US"/>
    </w:rPr>
  </w:style>
  <w:style w:type="paragraph" w:customStyle="1" w:styleId="Spacerparatopoffirstpage">
    <w:name w:val="Spacer para top of first page"/>
    <w:basedOn w:val="DPCbodynospace"/>
    <w:rsid w:val="007D0A10"/>
    <w:pPr>
      <w:spacing w:line="240" w:lineRule="auto"/>
    </w:pPr>
    <w:rPr>
      <w:noProof/>
      <w:sz w:val="12"/>
    </w:rPr>
  </w:style>
  <w:style w:type="numbering" w:customStyle="1" w:styleId="Bullets">
    <w:name w:val="Bullets"/>
    <w:rsid w:val="007D0A10"/>
    <w:pPr>
      <w:numPr>
        <w:numId w:val="2"/>
      </w:numPr>
    </w:pPr>
  </w:style>
  <w:style w:type="numbering" w:customStyle="1" w:styleId="Numbers">
    <w:name w:val="Numbers"/>
    <w:rsid w:val="007D0A10"/>
    <w:pPr>
      <w:numPr>
        <w:numId w:val="1"/>
      </w:numPr>
    </w:pPr>
  </w:style>
  <w:style w:type="paragraph" w:customStyle="1" w:styleId="DPCbulletindentlastline">
    <w:name w:val="DPC bullet indent last line"/>
    <w:basedOn w:val="DPCbody"/>
    <w:rsid w:val="00C76E88"/>
    <w:pPr>
      <w:numPr>
        <w:ilvl w:val="5"/>
        <w:numId w:val="4"/>
      </w:numPr>
    </w:pPr>
  </w:style>
  <w:style w:type="paragraph" w:customStyle="1" w:styleId="DPCnumberdigit">
    <w:name w:val="DPC number digit"/>
    <w:basedOn w:val="DPCbody"/>
    <w:uiPriority w:val="4"/>
    <w:rsid w:val="00C76E88"/>
    <w:pPr>
      <w:numPr>
        <w:numId w:val="3"/>
      </w:numPr>
    </w:pPr>
  </w:style>
  <w:style w:type="paragraph" w:customStyle="1" w:styleId="DPCnumberloweralphaindent">
    <w:name w:val="DPC number lower alpha indent"/>
    <w:basedOn w:val="DPCbody"/>
    <w:uiPriority w:val="4"/>
    <w:qFormat/>
    <w:rsid w:val="00C76E88"/>
    <w:pPr>
      <w:numPr>
        <w:ilvl w:val="3"/>
        <w:numId w:val="3"/>
      </w:numPr>
    </w:pPr>
  </w:style>
  <w:style w:type="paragraph" w:customStyle="1" w:styleId="DPCnumberdigitindent">
    <w:name w:val="DPC number digit indent"/>
    <w:basedOn w:val="DPCnumberloweralphaindent"/>
    <w:uiPriority w:val="4"/>
    <w:qFormat/>
    <w:rsid w:val="00C76E88"/>
    <w:pPr>
      <w:numPr>
        <w:ilvl w:val="1"/>
      </w:numPr>
    </w:pPr>
  </w:style>
  <w:style w:type="paragraph" w:customStyle="1" w:styleId="DPCnumberloweralpha">
    <w:name w:val="DPC number lower alpha"/>
    <w:basedOn w:val="DPCbody"/>
    <w:uiPriority w:val="4"/>
    <w:qFormat/>
    <w:rsid w:val="00C76E88"/>
    <w:pPr>
      <w:numPr>
        <w:ilvl w:val="2"/>
        <w:numId w:val="3"/>
      </w:numPr>
    </w:pPr>
  </w:style>
  <w:style w:type="paragraph" w:customStyle="1" w:styleId="DPCnumberlowerroman">
    <w:name w:val="DPC number lower roman"/>
    <w:basedOn w:val="DPCbody"/>
    <w:uiPriority w:val="4"/>
    <w:qFormat/>
    <w:rsid w:val="00C76E88"/>
    <w:pPr>
      <w:numPr>
        <w:ilvl w:val="4"/>
        <w:numId w:val="3"/>
      </w:numPr>
    </w:pPr>
  </w:style>
  <w:style w:type="paragraph" w:customStyle="1" w:styleId="DPCnumberlowerromanindent">
    <w:name w:val="DPC number lower roman indent"/>
    <w:basedOn w:val="DPCbody"/>
    <w:uiPriority w:val="4"/>
    <w:qFormat/>
    <w:rsid w:val="00C76E88"/>
    <w:pPr>
      <w:numPr>
        <w:ilvl w:val="5"/>
        <w:numId w:val="3"/>
      </w:numPr>
    </w:pPr>
  </w:style>
  <w:style w:type="paragraph" w:customStyle="1" w:styleId="DPCquote">
    <w:name w:val="DPC quote"/>
    <w:basedOn w:val="DPCbody"/>
    <w:uiPriority w:val="3"/>
    <w:qFormat/>
    <w:rsid w:val="00C76E88"/>
    <w:pPr>
      <w:ind w:left="397"/>
    </w:pPr>
    <w:rPr>
      <w:szCs w:val="18"/>
    </w:rPr>
  </w:style>
  <w:style w:type="paragraph" w:customStyle="1" w:styleId="DPCtablefigurefootnote">
    <w:name w:val="DPC table/figure footnote"/>
    <w:uiPriority w:val="4"/>
    <w:rsid w:val="00C76E88"/>
    <w:pPr>
      <w:spacing w:before="60" w:after="60"/>
    </w:pPr>
    <w:rPr>
      <w:rFonts w:asciiTheme="minorHAnsi" w:hAnsiTheme="minorHAnsi"/>
      <w:color w:val="000000" w:themeColor="text1"/>
      <w:sz w:val="18"/>
      <w:szCs w:val="18"/>
      <w:lang w:eastAsia="en-US"/>
    </w:rPr>
  </w:style>
  <w:style w:type="paragraph" w:customStyle="1" w:styleId="DPCbodyaftertablefigure">
    <w:name w:val="DPC body after table/figure"/>
    <w:basedOn w:val="DPCbody"/>
    <w:uiPriority w:val="1"/>
    <w:rsid w:val="00C76E88"/>
    <w:pPr>
      <w:spacing w:before="240"/>
    </w:pPr>
  </w:style>
  <w:style w:type="paragraph" w:customStyle="1" w:styleId="DPCfooter">
    <w:name w:val="DPC footer"/>
    <w:uiPriority w:val="11"/>
    <w:rsid w:val="00B01E7E"/>
    <w:pPr>
      <w:tabs>
        <w:tab w:val="right" w:pos="9923"/>
      </w:tabs>
    </w:pPr>
    <w:rPr>
      <w:rFonts w:asciiTheme="minorHAnsi" w:hAnsiTheme="minorHAnsi"/>
      <w:sz w:val="22"/>
      <w:szCs w:val="22"/>
      <w:lang w:eastAsia="en-US"/>
    </w:rPr>
  </w:style>
  <w:style w:type="character" w:customStyle="1" w:styleId="HeaderChar">
    <w:name w:val="Header Char"/>
    <w:basedOn w:val="DefaultParagraphFont"/>
    <w:link w:val="Header"/>
    <w:rsid w:val="00FE19A5"/>
    <w:rPr>
      <w:rFonts w:ascii="Arial" w:hAnsi="Arial"/>
      <w:lang w:eastAsia="en-US"/>
    </w:rPr>
  </w:style>
  <w:style w:type="paragraph" w:styleId="BalloonText">
    <w:name w:val="Balloon Text"/>
    <w:basedOn w:val="Normal"/>
    <w:link w:val="BalloonTextChar"/>
    <w:uiPriority w:val="99"/>
    <w:semiHidden/>
    <w:unhideWhenUsed/>
    <w:rsid w:val="002E59B5"/>
    <w:rPr>
      <w:rFonts w:ascii="Tahoma" w:hAnsi="Tahoma" w:cs="Tahoma"/>
      <w:sz w:val="16"/>
      <w:szCs w:val="16"/>
    </w:rPr>
  </w:style>
  <w:style w:type="character" w:customStyle="1" w:styleId="BalloonTextChar">
    <w:name w:val="Balloon Text Char"/>
    <w:basedOn w:val="DefaultParagraphFont"/>
    <w:link w:val="BalloonText"/>
    <w:uiPriority w:val="99"/>
    <w:semiHidden/>
    <w:rsid w:val="002E59B5"/>
    <w:rPr>
      <w:rFonts w:ascii="Tahoma" w:hAnsi="Tahoma" w:cs="Tahoma"/>
      <w:sz w:val="16"/>
      <w:szCs w:val="16"/>
      <w:lang w:eastAsia="en-US"/>
    </w:rPr>
  </w:style>
  <w:style w:type="paragraph" w:styleId="BodyTextIndent">
    <w:name w:val="Body Text Indent"/>
    <w:basedOn w:val="Normal"/>
    <w:link w:val="BodyTextIndentChar"/>
    <w:uiPriority w:val="99"/>
    <w:unhideWhenUsed/>
    <w:rsid w:val="002E59B5"/>
    <w:pPr>
      <w:numPr>
        <w:numId w:val="5"/>
      </w:numPr>
      <w:tabs>
        <w:tab w:val="left" w:pos="284"/>
      </w:tabs>
      <w:spacing w:before="60" w:after="120" w:line="240" w:lineRule="exact"/>
    </w:pPr>
    <w:rPr>
      <w:rFonts w:ascii="Arial" w:eastAsia="Cambria" w:hAnsi="Arial"/>
      <w:szCs w:val="24"/>
    </w:rPr>
  </w:style>
  <w:style w:type="character" w:customStyle="1" w:styleId="BodyTextIndentChar">
    <w:name w:val="Body Text Indent Char"/>
    <w:basedOn w:val="DefaultParagraphFont"/>
    <w:link w:val="BodyTextIndent"/>
    <w:uiPriority w:val="99"/>
    <w:rsid w:val="002E59B5"/>
    <w:rPr>
      <w:rFonts w:ascii="Arial" w:eastAsia="Cambria" w:hAnsi="Arial"/>
      <w:szCs w:val="24"/>
      <w:lang w:eastAsia="en-US"/>
    </w:rPr>
  </w:style>
  <w:style w:type="paragraph" w:styleId="BodyText">
    <w:name w:val="Body Text"/>
    <w:basedOn w:val="Normal"/>
    <w:next w:val="Normal"/>
    <w:link w:val="BodyTextChar"/>
    <w:uiPriority w:val="99"/>
    <w:unhideWhenUsed/>
    <w:rsid w:val="00862493"/>
    <w:pPr>
      <w:spacing w:before="60" w:after="120" w:line="240" w:lineRule="exact"/>
    </w:pPr>
    <w:rPr>
      <w:rFonts w:ascii="Arial" w:eastAsia="Cambria" w:hAnsi="Arial"/>
      <w:szCs w:val="24"/>
    </w:rPr>
  </w:style>
  <w:style w:type="character" w:customStyle="1" w:styleId="BodyTextChar">
    <w:name w:val="Body Text Char"/>
    <w:basedOn w:val="DefaultParagraphFont"/>
    <w:link w:val="BodyText"/>
    <w:uiPriority w:val="99"/>
    <w:rsid w:val="00862493"/>
    <w:rPr>
      <w:rFonts w:ascii="Arial" w:eastAsia="Cambria" w:hAnsi="Arial"/>
      <w:szCs w:val="24"/>
      <w:lang w:eastAsia="en-US"/>
    </w:rPr>
  </w:style>
  <w:style w:type="paragraph" w:styleId="Revision">
    <w:name w:val="Revision"/>
    <w:hidden/>
    <w:uiPriority w:val="71"/>
    <w:rsid w:val="007C7AA6"/>
    <w:rPr>
      <w:rFonts w:ascii="Cambria" w:hAnsi="Cambria"/>
      <w:lang w:eastAsia="en-US"/>
    </w:rPr>
  </w:style>
  <w:style w:type="character" w:styleId="CommentReference">
    <w:name w:val="annotation reference"/>
    <w:basedOn w:val="DefaultParagraphFont"/>
    <w:uiPriority w:val="99"/>
    <w:semiHidden/>
    <w:unhideWhenUsed/>
    <w:rsid w:val="004560C6"/>
    <w:rPr>
      <w:sz w:val="16"/>
      <w:szCs w:val="16"/>
    </w:rPr>
  </w:style>
  <w:style w:type="paragraph" w:styleId="CommentText">
    <w:name w:val="annotation text"/>
    <w:basedOn w:val="Normal"/>
    <w:link w:val="CommentTextChar"/>
    <w:uiPriority w:val="99"/>
    <w:unhideWhenUsed/>
    <w:rsid w:val="004560C6"/>
  </w:style>
  <w:style w:type="character" w:customStyle="1" w:styleId="CommentTextChar">
    <w:name w:val="Comment Text Char"/>
    <w:basedOn w:val="DefaultParagraphFont"/>
    <w:link w:val="CommentText"/>
    <w:uiPriority w:val="99"/>
    <w:rsid w:val="004560C6"/>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4560C6"/>
    <w:rPr>
      <w:b/>
      <w:bCs/>
    </w:rPr>
  </w:style>
  <w:style w:type="character" w:customStyle="1" w:styleId="CommentSubjectChar">
    <w:name w:val="Comment Subject Char"/>
    <w:basedOn w:val="CommentTextChar"/>
    <w:link w:val="CommentSubject"/>
    <w:uiPriority w:val="99"/>
    <w:semiHidden/>
    <w:rsid w:val="004560C6"/>
    <w:rPr>
      <w:rFonts w:ascii="Cambria" w:hAnsi="Cambria"/>
      <w:b/>
      <w:bCs/>
      <w:lang w:eastAsia="en-US"/>
    </w:rPr>
  </w:style>
  <w:style w:type="character" w:styleId="UnresolvedMention">
    <w:name w:val="Unresolved Mention"/>
    <w:basedOn w:val="DefaultParagraphFont"/>
    <w:uiPriority w:val="99"/>
    <w:semiHidden/>
    <w:unhideWhenUsed/>
    <w:rsid w:val="000663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firstpeoplesrelations.vic.gov.au/cultural-heritage-management-plan-resources-heritage-advisors"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firstpeoplesrelations.vic.gov.au/cultural-heritage-management-plan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DPC 2015">
      <a:dk1>
        <a:sysClr val="windowText" lastClr="000000"/>
      </a:dk1>
      <a:lt1>
        <a:sysClr val="window" lastClr="FFFFFF"/>
      </a:lt1>
      <a:dk2>
        <a:srgbClr val="000000"/>
      </a:dk2>
      <a:lt2>
        <a:srgbClr val="FFFFFF"/>
      </a:lt2>
      <a:accent1>
        <a:srgbClr val="201547"/>
      </a:accent1>
      <a:accent2>
        <a:srgbClr val="E35205"/>
      </a:accent2>
      <a:accent3>
        <a:srgbClr val="87189D"/>
      </a:accent3>
      <a:accent4>
        <a:srgbClr val="AF272F"/>
      </a:accent4>
      <a:accent5>
        <a:srgbClr val="009CA6"/>
      </a:accent5>
      <a:accent6>
        <a:srgbClr val="53565A"/>
      </a:accent6>
      <a:hlink>
        <a:srgbClr val="3366FF"/>
      </a:hlink>
      <a:folHlink>
        <a:srgbClr val="9966CC"/>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01c7357-92cb-42bb-a1d9-bcd08756d365">
      <Terms xmlns="http://schemas.microsoft.com/office/infopath/2007/PartnerControls"/>
    </lcf76f155ced4ddcb4097134ff3c332f>
    <RAPregion xmlns="e01c7357-92cb-42bb-a1d9-bcd08756d365" xsi:nil="true"/>
    <Documenttype xmlns="e01c7357-92cb-42bb-a1d9-bcd08756d365" xsi:nil="true"/>
    <TaxCatchAll xmlns="33c31a2a-7574-4bd3-a894-c7688f8ba1c5" xsi:nil="true"/>
    <Documentstatus xmlns="e01c7357-92cb-42bb-a1d9-bcd08756d365" xsi:nil="true"/>
    <CICdocument xmlns="e01c7357-92cb-42bb-a1d9-bcd08756d365">false</CICdocument>
    <AVregion xmlns="e01c7357-92cb-42bb-a1d9-bcd08756d365" xsi:nil="true"/>
    <Location xmlns="e01c7357-92cb-42bb-a1d9-bcd08756d365" xsi:nil="true"/>
    <_dlc_DocId xmlns="33c31a2a-7574-4bd3-a894-c7688f8ba1c5">FPSRHS-557673075-129197</_dlc_DocId>
    <_dlc_DocIdUrl xmlns="33c31a2a-7574-4bd3-a894-c7688f8ba1c5">
      <Url>https://vicgov.sharepoint.com/sites/msteams_0df9f1/_layouts/15/DocIdRedir.aspx?ID=FPSRHS-557673075-129197</Url>
      <Description>FPSRHS-557673075-129197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1 6 " ? > < K a p i s h F i l e n a m e T o U r i M a p p i n g s   x m l n s : x s i = " h t t p : / / w w w . w 3 . o r g / 2 0 0 1 / X M L S c h e m a - i n s t a n c e "   x m l n s : x s d = " h t t p : / / w w w . w 3 . o r g / 2 0 0 1 / X M L S c h e m a " / > 
</file>

<file path=customXml/item6.xml><?xml version="1.0" encoding="utf-8"?>
<ct:contentTypeSchema xmlns:ct="http://schemas.microsoft.com/office/2006/metadata/contentType" xmlns:ma="http://schemas.microsoft.com/office/2006/metadata/properties/metaAttributes" ct:_="" ma:_="" ma:contentTypeName="Document" ma:contentTypeID="0x010100D410CFCE92D38A4FAEE735F364655700" ma:contentTypeVersion="19" ma:contentTypeDescription="Create a new document." ma:contentTypeScope="" ma:versionID="a1fa367449289f4fb94365678215cd74">
  <xsd:schema xmlns:xsd="http://www.w3.org/2001/XMLSchema" xmlns:xs="http://www.w3.org/2001/XMLSchema" xmlns:p="http://schemas.microsoft.com/office/2006/metadata/properties" xmlns:ns2="33c31a2a-7574-4bd3-a894-c7688f8ba1c5" xmlns:ns3="e01c7357-92cb-42bb-a1d9-bcd08756d365" targetNamespace="http://schemas.microsoft.com/office/2006/metadata/properties" ma:root="true" ma:fieldsID="fe6298e8d160561762d4b46b979657d7" ns2:_="" ns3:_="">
    <xsd:import namespace="33c31a2a-7574-4bd3-a894-c7688f8ba1c5"/>
    <xsd:import namespace="e01c7357-92cb-42bb-a1d9-bcd08756d365"/>
    <xsd:element name="properties">
      <xsd:complexType>
        <xsd:sequence>
          <xsd:element name="documentManagement">
            <xsd:complexType>
              <xsd:all>
                <xsd:element ref="ns2:_dlc_DocId" minOccurs="0"/>
                <xsd:element ref="ns2:_dlc_DocIdUrl" minOccurs="0"/>
                <xsd:element ref="ns2:_dlc_DocIdPersistId" minOccurs="0"/>
                <xsd:element ref="ns3:Documentstatus" minOccurs="0"/>
                <xsd:element ref="ns3:CICdocument" minOccurs="0"/>
                <xsd:element ref="ns3:Location" minOccurs="0"/>
                <xsd:element ref="ns3:RAPregion" minOccurs="0"/>
                <xsd:element ref="ns3:MediaServiceMetadata" minOccurs="0"/>
                <xsd:element ref="ns3:MediaServiceFastMetadata" minOccurs="0"/>
                <xsd:element ref="ns3:MediaServiceSearchProperties" minOccurs="0"/>
                <xsd:element ref="ns3:AVregion" minOccurs="0"/>
                <xsd:element ref="ns3:Documenttype"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c31a2a-7574-4bd3-a894-c7688f8ba1c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hidden="true" ma:list="{3f373c6d-d23c-41a5-b5ca-8aadaf42e339}" ma:internalName="TaxCatchAll" ma:showField="CatchAllData" ma:web="33c31a2a-7574-4bd3-a894-c7688f8ba1c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1c7357-92cb-42bb-a1d9-bcd08756d365" elementFormDefault="qualified">
    <xsd:import namespace="http://schemas.microsoft.com/office/2006/documentManagement/types"/>
    <xsd:import namespace="http://schemas.microsoft.com/office/infopath/2007/PartnerControls"/>
    <xsd:element name="Documentstatus" ma:index="11" nillable="true" ma:displayName="Document status" ma:format="Dropdown" ma:internalName="Documentstatus">
      <xsd:simpleType>
        <xsd:restriction base="dms:Choice">
          <xsd:enumeration value="Draft"/>
          <xsd:enumeration value="Final"/>
        </xsd:restriction>
      </xsd:simpleType>
    </xsd:element>
    <xsd:element name="CICdocument" ma:index="12" nillable="true" ma:displayName="CIC document" ma:default="0" ma:format="Dropdown" ma:internalName="CICdocument">
      <xsd:simpleType>
        <xsd:restriction base="dms:Boolean"/>
      </xsd:simpleType>
    </xsd:element>
    <xsd:element name="Location" ma:index="13" nillable="true" ma:displayName="Location" ma:format="Dropdown" ma:internalName="Location">
      <xsd:simpleType>
        <xsd:restriction base="dms:Text">
          <xsd:maxLength value="255"/>
        </xsd:restriction>
      </xsd:simpleType>
    </xsd:element>
    <xsd:element name="RAPregion" ma:index="14" nillable="true" ma:displayName="RAP region" ma:format="Dropdown" ma:internalName="RAPregion">
      <xsd:simpleType>
        <xsd:restriction base="dms:Choice">
          <xsd:enumeration value="BG"/>
          <xsd:enumeration value="BLCAC"/>
          <xsd:enumeration value="DDW"/>
          <xsd:enumeration value="EMAC"/>
          <xsd:enumeration value="FPMM"/>
          <xsd:enumeration value="GLaWAC"/>
          <xsd:enumeration value="GMTOAC"/>
          <xsd:enumeration value="TLAWC"/>
          <xsd:enumeration value="WTOAC"/>
          <xsd:enumeration value="WWAC"/>
          <xsd:enumeration value="WWCHAC"/>
          <xsd:enumeration value="YYNAC"/>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AVregion" ma:index="18" nillable="true" ma:displayName="AV region" ma:description="Metro, Barwon Grampians, Gippsland, Loddon Mallee, Hume" ma:format="Dropdown" ma:internalName="AVregion">
      <xsd:simpleType>
        <xsd:restriction base="dms:Text">
          <xsd:maxLength value="255"/>
        </xsd:restriction>
      </xsd:simpleType>
    </xsd:element>
    <xsd:element name="Documenttype" ma:index="19" nillable="true" ma:displayName="Document type" ma:description="Meeting or event brief, corro, noting brief, funding brief" ma:format="Dropdown" ma:internalName="Documenttype">
      <xsd:simpleType>
        <xsd:restriction base="dms:Text">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1B9251-1E83-4D23-8B62-676AFCB6C559}">
  <ds:schemaRefs>
    <ds:schemaRef ds:uri="http://schemas.openxmlformats.org/officeDocument/2006/bibliography"/>
  </ds:schemaRefs>
</ds:datastoreItem>
</file>

<file path=customXml/itemProps2.xml><?xml version="1.0" encoding="utf-8"?>
<ds:datastoreItem xmlns:ds="http://schemas.openxmlformats.org/officeDocument/2006/customXml" ds:itemID="{3B79C99E-4503-4924-AAFE-1485B40189A2}">
  <ds:schemaRefs>
    <ds:schemaRef ds:uri="http://schemas.microsoft.com/office/2006/metadata/properties"/>
    <ds:schemaRef ds:uri="http://schemas.microsoft.com/office/infopath/2007/PartnerControls"/>
    <ds:schemaRef ds:uri="e01c7357-92cb-42bb-a1d9-bcd08756d365"/>
    <ds:schemaRef ds:uri="33c31a2a-7574-4bd3-a894-c7688f8ba1c5"/>
  </ds:schemaRefs>
</ds:datastoreItem>
</file>

<file path=customXml/itemProps3.xml><?xml version="1.0" encoding="utf-8"?>
<ds:datastoreItem xmlns:ds="http://schemas.openxmlformats.org/officeDocument/2006/customXml" ds:itemID="{B226ED1A-EFFC-4A26-B03D-9D7DDCCCC495}">
  <ds:schemaRefs>
    <ds:schemaRef ds:uri="http://schemas.microsoft.com/sharepoint/v3/contenttype/forms"/>
  </ds:schemaRefs>
</ds:datastoreItem>
</file>

<file path=customXml/itemProps4.xml><?xml version="1.0" encoding="utf-8"?>
<ds:datastoreItem xmlns:ds="http://schemas.openxmlformats.org/officeDocument/2006/customXml" ds:itemID="{326FBCE6-DE33-498C-BEB5-75E74999DA2C}">
  <ds:schemaRefs>
    <ds:schemaRef ds:uri="http://schemas.microsoft.com/sharepoint/events"/>
  </ds:schemaRefs>
</ds:datastoreItem>
</file>

<file path=customXml/itemProps5.xml><?xml version="1.0" encoding="utf-8"?>
<ds:datastoreItem xmlns:ds="http://schemas.openxmlformats.org/officeDocument/2006/customXml" ds:itemID="{0A6F0F45-067B-41D5-817C-6BBB309DE4AE}">
  <ds:schemaRefs>
    <ds:schemaRef ds:uri="http://www.w3.org/2001/XMLSchema"/>
  </ds:schemaRefs>
</ds:datastoreItem>
</file>

<file path=customXml/itemProps6.xml><?xml version="1.0" encoding="utf-8"?>
<ds:datastoreItem xmlns:ds="http://schemas.openxmlformats.org/officeDocument/2006/customXml" ds:itemID="{987CBB97-786A-4E68-81E1-79F320AE9C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c31a2a-7574-4bd3-a894-c7688f8ba1c5"/>
    <ds:schemaRef ds:uri="e01c7357-92cb-42bb-a1d9-bcd08756d3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4888</Words>
  <Characters>27868</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Department of Premier and Cabinet</Company>
  <LinksUpToDate>false</LinksUpToDate>
  <CharactersWithSpaces>32691</CharactersWithSpaces>
  <SharedDoc>false</SharedDoc>
  <HyperlinkBase/>
  <HLinks>
    <vt:vector size="12" baseType="variant">
      <vt:variant>
        <vt:i4>2818097</vt:i4>
      </vt:variant>
      <vt:variant>
        <vt:i4>3</vt:i4>
      </vt:variant>
      <vt:variant>
        <vt:i4>0</vt:i4>
      </vt:variant>
      <vt:variant>
        <vt:i4>5</vt:i4>
      </vt:variant>
      <vt:variant>
        <vt:lpwstr>https://www.firstpeoplesrelations.vic.gov.au/cultural-heritage-management-plan-resources-heritage-advisors</vt:lpwstr>
      </vt:variant>
      <vt:variant>
        <vt:lpwstr/>
      </vt:variant>
      <vt:variant>
        <vt:i4>7995442</vt:i4>
      </vt:variant>
      <vt:variant>
        <vt:i4>0</vt:i4>
      </vt:variant>
      <vt:variant>
        <vt:i4>0</vt:i4>
      </vt:variant>
      <vt:variant>
        <vt:i4>5</vt:i4>
      </vt:variant>
      <vt:variant>
        <vt:lpwstr>https://www.firstpeoplesrelations.vic.gov.au/cultural-heritage-management-plans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Boulet</dc:creator>
  <cp:lastModifiedBy>Liz A Kilpatrick (DPC)</cp:lastModifiedBy>
  <cp:revision>11</cp:revision>
  <cp:lastPrinted>2015-01-28T03:08:00Z</cp:lastPrinted>
  <dcterms:created xsi:type="dcterms:W3CDTF">2026-06-30T07:17:00Z</dcterms:created>
  <dcterms:modified xsi:type="dcterms:W3CDTF">2026-07-01T00:26:00Z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itusGUID">
    <vt:lpwstr>4c5508fc-bb80-4864-9286-191c93ff12e0</vt:lpwstr>
  </property>
  <property fmtid="{D5CDD505-2E9C-101B-9397-08002B2CF9AE}" pid="4" name="PSPFClassification">
    <vt:lpwstr>Do Not Mark</vt:lpwstr>
  </property>
  <property fmtid="{D5CDD505-2E9C-101B-9397-08002B2CF9AE}" pid="5" name="MSIP_Label_7158ebbd-6c5e-441f-bfc9-4eb8c11e3978_Enabled">
    <vt:lpwstr>True</vt:lpwstr>
  </property>
  <property fmtid="{D5CDD505-2E9C-101B-9397-08002B2CF9AE}" pid="6" name="MSIP_Label_7158ebbd-6c5e-441f-bfc9-4eb8c11e3978_SiteId">
    <vt:lpwstr>722ea0be-3e1c-4b11-ad6f-9401d6856e24</vt:lpwstr>
  </property>
  <property fmtid="{D5CDD505-2E9C-101B-9397-08002B2CF9AE}" pid="7" name="MSIP_Label_7158ebbd-6c5e-441f-bfc9-4eb8c11e3978_Owner">
    <vt:lpwstr>marcella.marino@dpc.vic.gov.au</vt:lpwstr>
  </property>
  <property fmtid="{D5CDD505-2E9C-101B-9397-08002B2CF9AE}" pid="8" name="MSIP_Label_7158ebbd-6c5e-441f-bfc9-4eb8c11e3978_SetDate">
    <vt:lpwstr>2019-07-30T00:08:30.7824336Z</vt:lpwstr>
  </property>
  <property fmtid="{D5CDD505-2E9C-101B-9397-08002B2CF9AE}" pid="9" name="MSIP_Label_7158ebbd-6c5e-441f-bfc9-4eb8c11e3978_Name">
    <vt:lpwstr>OFFICIAL</vt:lpwstr>
  </property>
  <property fmtid="{D5CDD505-2E9C-101B-9397-08002B2CF9AE}" pid="10" name="MSIP_Label_7158ebbd-6c5e-441f-bfc9-4eb8c11e3978_Application">
    <vt:lpwstr>Microsoft Azure Information Protection</vt:lpwstr>
  </property>
  <property fmtid="{D5CDD505-2E9C-101B-9397-08002B2CF9AE}" pid="11" name="MSIP_Label_7158ebbd-6c5e-441f-bfc9-4eb8c11e3978_Extended_MSFT_Method">
    <vt:lpwstr>Manual</vt:lpwstr>
  </property>
  <property fmtid="{D5CDD505-2E9C-101B-9397-08002B2CF9AE}" pid="12" name="Sensitivity">
    <vt:lpwstr>OFFICIAL</vt:lpwstr>
  </property>
  <property fmtid="{D5CDD505-2E9C-101B-9397-08002B2CF9AE}" pid="13" name="ContentTypeId">
    <vt:lpwstr>0x010100D410CFCE92D38A4FAEE735F364655700</vt:lpwstr>
  </property>
  <property fmtid="{D5CDD505-2E9C-101B-9397-08002B2CF9AE}" pid="14" name="_dlc_DocIdItemGuid">
    <vt:lpwstr>0d3db1cd-0ca5-4af9-b6cc-bf121317e639</vt:lpwstr>
  </property>
  <property fmtid="{D5CDD505-2E9C-101B-9397-08002B2CF9AE}" pid="15" name="MediaServiceImageTags">
    <vt:lpwstr/>
  </property>
</Properties>
</file>