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6949" w14:textId="75182485" w:rsidR="00A0300C" w:rsidRPr="00232C16" w:rsidRDefault="00A0300C" w:rsidP="004E24C3">
      <w:pPr>
        <w:pStyle w:val="Heading1"/>
        <w:rPr>
          <w:rFonts w:ascii="Arial" w:eastAsia="Times" w:hAnsi="Arial" w:cs="Arial"/>
          <w:i/>
          <w:iCs/>
          <w:sz w:val="32"/>
        </w:rPr>
      </w:pPr>
      <w:bookmarkStart w:id="0" w:name="_Toc410976287"/>
      <w:r w:rsidRPr="00232C16">
        <w:rPr>
          <w:rFonts w:ascii="Arial" w:eastAsia="Times" w:hAnsi="Arial" w:cs="Arial"/>
        </w:rPr>
        <w:t>Minister’s Guidelines for Heritage Advisor Qualifications and Experience</w:t>
      </w:r>
    </w:p>
    <w:p w14:paraId="44810204" w14:textId="48AD901F"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Pursuant to s</w:t>
      </w:r>
      <w:r w:rsidR="00991482" w:rsidRPr="00232C16">
        <w:rPr>
          <w:rFonts w:ascii="Arial" w:eastAsia="Times" w:hAnsi="Arial" w:cs="Arial"/>
          <w:color w:val="000000" w:themeColor="text1"/>
        </w:rPr>
        <w:t>ub</w:t>
      </w:r>
      <w:r w:rsidR="003F797A" w:rsidRPr="00232C16">
        <w:rPr>
          <w:rFonts w:ascii="Arial" w:eastAsia="Times" w:hAnsi="Arial" w:cs="Arial"/>
          <w:color w:val="000000" w:themeColor="text1"/>
        </w:rPr>
        <w:t>s</w:t>
      </w:r>
      <w:r w:rsidRPr="00232C16">
        <w:rPr>
          <w:rFonts w:ascii="Arial" w:eastAsia="Times" w:hAnsi="Arial" w:cs="Arial"/>
          <w:color w:val="000000" w:themeColor="text1"/>
        </w:rPr>
        <w:t xml:space="preserve">ection 189(2) of the </w:t>
      </w:r>
      <w:r w:rsidRPr="00232C16">
        <w:rPr>
          <w:rFonts w:ascii="Arial" w:eastAsia="Times" w:hAnsi="Arial" w:cs="Arial"/>
          <w:i/>
          <w:iCs/>
          <w:color w:val="000000" w:themeColor="text1"/>
        </w:rPr>
        <w:t>Aboriginal Heritage Act 2006</w:t>
      </w:r>
      <w:r w:rsidRPr="00232C16">
        <w:rPr>
          <w:rFonts w:ascii="Arial" w:eastAsia="Times" w:hAnsi="Arial" w:cs="Arial"/>
          <w:color w:val="000000" w:themeColor="text1"/>
        </w:rPr>
        <w:t xml:space="preserve"> (the Act), </w:t>
      </w:r>
      <w:r w:rsidR="001B1046" w:rsidRPr="00232C16">
        <w:rPr>
          <w:rFonts w:ascii="Arial" w:eastAsia="Times" w:hAnsi="Arial" w:cs="Arial"/>
          <w:color w:val="000000" w:themeColor="text1"/>
        </w:rPr>
        <w:t>the Minister for Treaty and First Peoples has</w:t>
      </w:r>
      <w:r w:rsidRPr="00232C16">
        <w:rPr>
          <w:rFonts w:ascii="Arial" w:eastAsia="Times" w:hAnsi="Arial" w:cs="Arial"/>
          <w:color w:val="000000" w:themeColor="text1"/>
        </w:rPr>
        <w:t xml:space="preserve"> issue</w:t>
      </w:r>
      <w:r w:rsidR="001B1046" w:rsidRPr="00232C16">
        <w:rPr>
          <w:rFonts w:ascii="Arial" w:eastAsia="Times" w:hAnsi="Arial" w:cs="Arial"/>
          <w:color w:val="000000" w:themeColor="text1"/>
        </w:rPr>
        <w:t>d</w:t>
      </w:r>
      <w:r w:rsidRPr="00232C16">
        <w:rPr>
          <w:rFonts w:ascii="Arial" w:eastAsia="Times" w:hAnsi="Arial" w:cs="Arial"/>
          <w:color w:val="000000" w:themeColor="text1"/>
        </w:rPr>
        <w:t xml:space="preserve"> the following guidelines concerning the appropriate qualifications and experience</w:t>
      </w:r>
      <w:r w:rsidR="00D81BCC" w:rsidRPr="00232C16">
        <w:rPr>
          <w:rFonts w:ascii="Arial" w:eastAsia="Times" w:hAnsi="Arial" w:cs="Arial"/>
          <w:color w:val="000000" w:themeColor="text1"/>
        </w:rPr>
        <w:t xml:space="preserve"> </w:t>
      </w:r>
      <w:r w:rsidRPr="00232C16">
        <w:rPr>
          <w:rFonts w:ascii="Arial" w:eastAsia="Times" w:hAnsi="Arial" w:cs="Arial"/>
          <w:color w:val="000000" w:themeColor="text1"/>
        </w:rPr>
        <w:t>of Heritage Advisors</w:t>
      </w:r>
      <w:r w:rsidR="00875387" w:rsidRPr="00232C16">
        <w:rPr>
          <w:rFonts w:ascii="Arial" w:eastAsia="Times" w:hAnsi="Arial" w:cs="Arial"/>
          <w:color w:val="000000" w:themeColor="text1"/>
        </w:rPr>
        <w:t>.</w:t>
      </w:r>
      <w:r w:rsidRPr="00232C16">
        <w:rPr>
          <w:rFonts w:ascii="Arial" w:eastAsia="Times" w:hAnsi="Arial" w:cs="Arial"/>
          <w:color w:val="000000" w:themeColor="text1"/>
        </w:rPr>
        <w:t xml:space="preserve"> </w:t>
      </w:r>
      <w:r w:rsidR="00DD1F12" w:rsidRPr="00232C16">
        <w:rPr>
          <w:rFonts w:ascii="Arial" w:eastAsia="Times" w:hAnsi="Arial" w:cs="Arial"/>
          <w:color w:val="000000" w:themeColor="text1"/>
        </w:rPr>
        <w:t>These guidelines</w:t>
      </w:r>
      <w:r w:rsidRPr="00232C16">
        <w:rPr>
          <w:rFonts w:ascii="Arial" w:eastAsia="Times" w:hAnsi="Arial" w:cs="Arial"/>
          <w:color w:val="000000" w:themeColor="text1"/>
        </w:rPr>
        <w:t xml:space="preserve"> were developed in collaboration and consultation with the Victorian Aboriginal Heritage Council, as required by section 189(3). </w:t>
      </w:r>
    </w:p>
    <w:p w14:paraId="24372DE5" w14:textId="1A4FA1D8"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The </w:t>
      </w:r>
      <w:r w:rsidR="00CA4D90" w:rsidRPr="00232C16">
        <w:rPr>
          <w:rFonts w:ascii="Arial" w:eastAsia="Times" w:hAnsi="Arial" w:cs="Arial"/>
          <w:color w:val="000000" w:themeColor="text1"/>
        </w:rPr>
        <w:t xml:space="preserve">Minister’s </w:t>
      </w:r>
      <w:r w:rsidRPr="00232C16">
        <w:rPr>
          <w:rFonts w:ascii="Arial" w:eastAsia="Times" w:hAnsi="Arial" w:cs="Arial"/>
          <w:color w:val="000000" w:themeColor="text1"/>
        </w:rPr>
        <w:t xml:space="preserve">Guidelines </w:t>
      </w:r>
      <w:r w:rsidR="00CA4D90" w:rsidRPr="00232C16">
        <w:rPr>
          <w:rFonts w:ascii="Arial" w:eastAsia="Times" w:hAnsi="Arial" w:cs="Arial"/>
          <w:color w:val="000000" w:themeColor="text1"/>
        </w:rPr>
        <w:t>for Heritage Advisor Qualifications and Experience</w:t>
      </w:r>
      <w:r w:rsidR="002B2443">
        <w:rPr>
          <w:rFonts w:ascii="Arial" w:eastAsia="Times" w:hAnsi="Arial" w:cs="Arial"/>
          <w:color w:val="000000" w:themeColor="text1"/>
        </w:rPr>
        <w:t xml:space="preserve"> were</w:t>
      </w:r>
      <w:r w:rsidR="00D72AB1">
        <w:rPr>
          <w:rFonts w:ascii="Arial" w:eastAsia="Times" w:hAnsi="Arial" w:cs="Arial"/>
          <w:color w:val="000000" w:themeColor="text1"/>
        </w:rPr>
        <w:t xml:space="preserve"> published on 22 March 2024 in the Victoria Government Gazette,</w:t>
      </w:r>
      <w:r w:rsidR="00CA4D90" w:rsidRPr="00232C16">
        <w:rPr>
          <w:rFonts w:ascii="Arial" w:eastAsia="Times" w:hAnsi="Arial" w:cs="Arial"/>
          <w:color w:val="000000" w:themeColor="text1"/>
        </w:rPr>
        <w:t xml:space="preserve"> </w:t>
      </w:r>
      <w:r w:rsidR="002B2443">
        <w:rPr>
          <w:rFonts w:ascii="Arial" w:eastAsia="Times" w:hAnsi="Arial" w:cs="Arial"/>
          <w:color w:val="000000" w:themeColor="text1"/>
        </w:rPr>
        <w:t xml:space="preserve">and </w:t>
      </w:r>
      <w:r w:rsidRPr="00232C16">
        <w:rPr>
          <w:rFonts w:ascii="Arial" w:eastAsia="Times" w:hAnsi="Arial" w:cs="Arial"/>
          <w:color w:val="000000" w:themeColor="text1"/>
        </w:rPr>
        <w:t xml:space="preserve">replace the previous Heritage Advisors Qualification Guidelines </w:t>
      </w:r>
      <w:r w:rsidR="00D72AB1">
        <w:rPr>
          <w:rFonts w:ascii="Arial" w:eastAsia="Times" w:hAnsi="Arial" w:cs="Arial"/>
          <w:color w:val="000000" w:themeColor="text1"/>
        </w:rPr>
        <w:t>published</w:t>
      </w:r>
      <w:r w:rsidRPr="00232C16">
        <w:rPr>
          <w:rFonts w:ascii="Arial" w:eastAsia="Times" w:hAnsi="Arial" w:cs="Arial"/>
          <w:color w:val="000000" w:themeColor="text1"/>
        </w:rPr>
        <w:t xml:space="preserve"> on 11 February 2010.</w:t>
      </w:r>
    </w:p>
    <w:p w14:paraId="35BFCAE3" w14:textId="766FBDC9" w:rsidR="00A0300C" w:rsidRPr="00232C16" w:rsidRDefault="00A0300C" w:rsidP="004E24C3">
      <w:pPr>
        <w:pStyle w:val="Heading2"/>
        <w:rPr>
          <w:rFonts w:ascii="Arial" w:hAnsi="Arial"/>
        </w:rPr>
      </w:pPr>
      <w:r w:rsidRPr="00232C16">
        <w:rPr>
          <w:rFonts w:ascii="Arial" w:hAnsi="Arial"/>
        </w:rPr>
        <w:t>The purpose of the Guidelines</w:t>
      </w:r>
    </w:p>
    <w:p w14:paraId="19D737C4" w14:textId="623089F1"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The Guidelines specify the appropriate qualifications and experience</w:t>
      </w:r>
      <w:r w:rsidR="004F603C" w:rsidRPr="00232C16">
        <w:rPr>
          <w:rFonts w:ascii="Arial" w:eastAsia="Times" w:hAnsi="Arial" w:cs="Arial"/>
          <w:color w:val="000000" w:themeColor="text1"/>
        </w:rPr>
        <w:t xml:space="preserve">, or knowledge and experience, </w:t>
      </w:r>
      <w:r w:rsidRPr="00232C16">
        <w:rPr>
          <w:rFonts w:ascii="Arial" w:eastAsia="Times" w:hAnsi="Arial" w:cs="Arial"/>
          <w:color w:val="000000" w:themeColor="text1"/>
        </w:rPr>
        <w:t>of Heritage Advisors</w:t>
      </w:r>
      <w:r w:rsidR="006C3989" w:rsidRPr="00232C16">
        <w:rPr>
          <w:rFonts w:ascii="Arial" w:eastAsia="Times" w:hAnsi="Arial" w:cs="Arial"/>
          <w:color w:val="000000" w:themeColor="text1"/>
        </w:rPr>
        <w:t>,</w:t>
      </w:r>
      <w:r w:rsidRPr="00232C16">
        <w:rPr>
          <w:rFonts w:ascii="Arial" w:eastAsia="Times" w:hAnsi="Arial" w:cs="Arial"/>
          <w:color w:val="000000" w:themeColor="text1"/>
          <w:vertAlign w:val="superscript"/>
        </w:rPr>
        <w:footnoteReference w:id="2"/>
      </w:r>
      <w:r w:rsidRPr="00232C16">
        <w:rPr>
          <w:rFonts w:ascii="Arial" w:eastAsia="Times" w:hAnsi="Arial" w:cs="Arial"/>
          <w:color w:val="000000" w:themeColor="text1"/>
        </w:rPr>
        <w:t xml:space="preserve"> for the purposes of section 189 of the Act. This serves two key purposes:</w:t>
      </w:r>
    </w:p>
    <w:p w14:paraId="708310C0" w14:textId="4541C2B7" w:rsidR="00A0300C" w:rsidRPr="00232C16" w:rsidRDefault="00A0300C" w:rsidP="004E24C3">
      <w:pPr>
        <w:numPr>
          <w:ilvl w:val="0"/>
          <w:numId w:val="4"/>
        </w:num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to inform persons who engage Heritage Advisors, such as project sponsors, </w:t>
      </w:r>
      <w:r w:rsidR="00A105B4" w:rsidRPr="00232C16">
        <w:rPr>
          <w:rFonts w:ascii="Arial" w:eastAsia="Times" w:hAnsi="Arial" w:cs="Arial"/>
          <w:color w:val="000000" w:themeColor="text1"/>
        </w:rPr>
        <w:t>about</w:t>
      </w:r>
      <w:r w:rsidRPr="00232C16">
        <w:rPr>
          <w:rFonts w:ascii="Arial" w:eastAsia="Times" w:hAnsi="Arial" w:cs="Arial"/>
          <w:color w:val="000000" w:themeColor="text1"/>
        </w:rPr>
        <w:t xml:space="preserve"> the appropriate qualifications and experience, or extensive experience or knowledge, that </w:t>
      </w:r>
      <w:r w:rsidR="00A105B4" w:rsidRPr="00232C16">
        <w:rPr>
          <w:rFonts w:ascii="Arial" w:eastAsia="Times" w:hAnsi="Arial" w:cs="Arial"/>
          <w:color w:val="000000" w:themeColor="text1"/>
        </w:rPr>
        <w:t xml:space="preserve">the Act requires </w:t>
      </w:r>
      <w:r w:rsidRPr="00232C16">
        <w:rPr>
          <w:rFonts w:ascii="Arial" w:eastAsia="Times" w:hAnsi="Arial" w:cs="Arial"/>
          <w:color w:val="000000" w:themeColor="text1"/>
        </w:rPr>
        <w:t>Heritage Advisors to have; and</w:t>
      </w:r>
    </w:p>
    <w:p w14:paraId="6F267894" w14:textId="6C504850" w:rsidR="00A0300C" w:rsidRPr="00232C16" w:rsidRDefault="00A0300C" w:rsidP="004E24C3">
      <w:pPr>
        <w:numPr>
          <w:ilvl w:val="0"/>
          <w:numId w:val="4"/>
        </w:num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to provide the benchmark for appropriate qualifications and experience, or extensive experience or knowledge, so that the Secretary (or their delegate) is satisfied that a person is a Heritage Advisor before allowing their access to the Victorian Aboriginal Heritage Register </w:t>
      </w:r>
      <w:r w:rsidR="00916A06" w:rsidRPr="00232C16">
        <w:rPr>
          <w:rFonts w:ascii="Arial" w:eastAsia="Times" w:hAnsi="Arial" w:cs="Arial"/>
          <w:color w:val="000000" w:themeColor="text1"/>
        </w:rPr>
        <w:t>under</w:t>
      </w:r>
      <w:r w:rsidRPr="00232C16">
        <w:rPr>
          <w:rFonts w:ascii="Arial" w:eastAsia="Times" w:hAnsi="Arial" w:cs="Arial"/>
          <w:color w:val="000000" w:themeColor="text1"/>
        </w:rPr>
        <w:t xml:space="preserve"> </w:t>
      </w:r>
      <w:r w:rsidR="00E03195" w:rsidRPr="00232C16">
        <w:rPr>
          <w:rFonts w:ascii="Arial" w:eastAsia="Times" w:hAnsi="Arial" w:cs="Arial"/>
          <w:color w:val="000000" w:themeColor="text1"/>
        </w:rPr>
        <w:t>sub</w:t>
      </w:r>
      <w:r w:rsidRPr="00232C16">
        <w:rPr>
          <w:rFonts w:ascii="Arial" w:eastAsia="Times" w:hAnsi="Arial" w:cs="Arial"/>
          <w:color w:val="000000" w:themeColor="text1"/>
        </w:rPr>
        <w:t>sections 146(1)(c) and/or (g) of the Act.</w:t>
      </w:r>
    </w:p>
    <w:p w14:paraId="31ECB616" w14:textId="77777777" w:rsidR="00A0300C" w:rsidRPr="00232C16" w:rsidRDefault="00A0300C" w:rsidP="004E24C3">
      <w:pPr>
        <w:pStyle w:val="Heading2"/>
        <w:rPr>
          <w:rFonts w:ascii="Arial" w:hAnsi="Arial"/>
        </w:rPr>
      </w:pPr>
      <w:r w:rsidRPr="00232C16">
        <w:rPr>
          <w:rFonts w:ascii="Arial" w:hAnsi="Arial"/>
        </w:rPr>
        <w:t xml:space="preserve">The role of Heritage Advisors </w:t>
      </w:r>
    </w:p>
    <w:p w14:paraId="61122842" w14:textId="6099A3CA"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It is essential Heritage Advisors bring the appropriate mix of expertise and experience to their important role within Victoria’s Aboriginal cultural heritage management system. Their work must support the purposes of the Act to protect, and to promote respect of, Aboriginal cultural heritage, including intangible heritage, and to strengthen Traditional Owners’ rights to maintain their distinctive relationships to the land and waters with which they are connected. </w:t>
      </w:r>
    </w:p>
    <w:p w14:paraId="109F43A5" w14:textId="6B821837"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In broad terms, Heritage Advisors support these purposes by assisting developers, land users and land managers with the assessment of Aboriginal cultural heritage and its protection and management, before, during and after land use and development activities take place. It is critical to the proper assessment, protection and management of Aboriginal </w:t>
      </w:r>
      <w:r w:rsidRPr="00232C16">
        <w:rPr>
          <w:rFonts w:ascii="Arial" w:eastAsia="Times" w:hAnsi="Arial" w:cs="Arial"/>
          <w:color w:val="000000" w:themeColor="text1"/>
        </w:rPr>
        <w:lastRenderedPageBreak/>
        <w:t>cultural heritage that Heritage Advisors engage proactively and respectfully with Traditional Owners and First Peoples.</w:t>
      </w:r>
    </w:p>
    <w:p w14:paraId="48F2D859" w14:textId="77777777"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The work of Heritage Advisors includes:</w:t>
      </w:r>
    </w:p>
    <w:p w14:paraId="2762AC25" w14:textId="77777777" w:rsidR="00A0300C" w:rsidRPr="00232C16" w:rsidRDefault="00A0300C" w:rsidP="004E24C3">
      <w:pPr>
        <w:pStyle w:val="Bullet"/>
        <w:rPr>
          <w:rFonts w:ascii="Arial" w:hAnsi="Arial" w:cs="Arial"/>
        </w:rPr>
      </w:pPr>
      <w:r w:rsidRPr="00232C16">
        <w:rPr>
          <w:rFonts w:ascii="Arial" w:hAnsi="Arial" w:cs="Arial"/>
        </w:rPr>
        <w:t>accessing the Victorian Aboriginal Heritage Register (the Register) to identify and research areas of cultural heritage sensitivity, including registered places and objects, and to report new information;</w:t>
      </w:r>
    </w:p>
    <w:p w14:paraId="0F72CACE" w14:textId="649BBCA9" w:rsidR="00A0300C" w:rsidRPr="00232C16" w:rsidRDefault="00A0300C" w:rsidP="004E24C3">
      <w:pPr>
        <w:pStyle w:val="Bullet"/>
        <w:rPr>
          <w:rFonts w:ascii="Arial" w:hAnsi="Arial" w:cs="Arial"/>
        </w:rPr>
      </w:pPr>
      <w:r w:rsidRPr="00232C16">
        <w:rPr>
          <w:rFonts w:ascii="Arial" w:hAnsi="Arial" w:cs="Arial"/>
        </w:rPr>
        <w:t xml:space="preserve">engaging </w:t>
      </w:r>
      <w:r w:rsidR="008A391C" w:rsidRPr="00232C16">
        <w:rPr>
          <w:rFonts w:ascii="Arial" w:hAnsi="Arial" w:cs="Arial"/>
        </w:rPr>
        <w:t xml:space="preserve">effectively </w:t>
      </w:r>
      <w:r w:rsidR="00551732" w:rsidRPr="00232C16">
        <w:rPr>
          <w:rFonts w:ascii="Arial" w:hAnsi="Arial" w:cs="Arial"/>
        </w:rPr>
        <w:t xml:space="preserve">and appropriately </w:t>
      </w:r>
      <w:r w:rsidRPr="00232C16">
        <w:rPr>
          <w:rFonts w:ascii="Arial" w:hAnsi="Arial" w:cs="Arial"/>
        </w:rPr>
        <w:t>with Traditional Owners as the primary guardians, keepers and knowledge holders of Aboriginal cultural heritage, including via their registered corporations;</w:t>
      </w:r>
    </w:p>
    <w:p w14:paraId="41DAFFA0" w14:textId="23E539BA" w:rsidR="00A0300C" w:rsidRPr="00232C16" w:rsidRDefault="00A0300C" w:rsidP="004E24C3">
      <w:pPr>
        <w:pStyle w:val="Bullet"/>
        <w:rPr>
          <w:rFonts w:ascii="Arial" w:hAnsi="Arial" w:cs="Arial"/>
        </w:rPr>
      </w:pPr>
      <w:r w:rsidRPr="00232C16">
        <w:rPr>
          <w:rFonts w:ascii="Arial" w:hAnsi="Arial" w:cs="Arial"/>
        </w:rPr>
        <w:t>undertaking desktop, standard and/or complex assessments (the latter must be supervised by a person appropriately qualified in archaeology</w:t>
      </w:r>
      <w:r w:rsidR="00A704E2" w:rsidRPr="00232C16">
        <w:rPr>
          <w:rFonts w:ascii="Arial" w:hAnsi="Arial" w:cs="Arial"/>
        </w:rPr>
        <w:t xml:space="preserve"> if </w:t>
      </w:r>
      <w:r w:rsidR="00C6074E">
        <w:rPr>
          <w:rFonts w:ascii="Arial" w:hAnsi="Arial" w:cs="Arial"/>
        </w:rPr>
        <w:t>it</w:t>
      </w:r>
      <w:r w:rsidR="00A704E2" w:rsidRPr="00232C16">
        <w:rPr>
          <w:rFonts w:ascii="Arial" w:hAnsi="Arial" w:cs="Arial"/>
        </w:rPr>
        <w:t xml:space="preserve"> involve</w:t>
      </w:r>
      <w:r w:rsidR="00C6074E">
        <w:rPr>
          <w:rFonts w:ascii="Arial" w:hAnsi="Arial" w:cs="Arial"/>
        </w:rPr>
        <w:t>s</w:t>
      </w:r>
      <w:r w:rsidR="001F25B8" w:rsidRPr="00232C16">
        <w:rPr>
          <w:rFonts w:ascii="Arial" w:hAnsi="Arial" w:cs="Arial"/>
        </w:rPr>
        <w:t xml:space="preserve"> a disturbance or excavation</w:t>
      </w:r>
      <w:r w:rsidRPr="00232C16">
        <w:rPr>
          <w:rFonts w:ascii="Arial" w:hAnsi="Arial" w:cs="Arial"/>
        </w:rPr>
        <w:t>)</w:t>
      </w:r>
      <w:r w:rsidR="002276AB">
        <w:rPr>
          <w:rFonts w:ascii="Arial" w:hAnsi="Arial" w:cs="Arial"/>
        </w:rPr>
        <w:t xml:space="preserve">, </w:t>
      </w:r>
      <w:r w:rsidRPr="00232C16">
        <w:rPr>
          <w:rFonts w:ascii="Arial" w:hAnsi="Arial" w:cs="Arial"/>
        </w:rPr>
        <w:t>advising on conditions and contingencies and, in some instances, supervising excavations and salvage operations; and</w:t>
      </w:r>
    </w:p>
    <w:p w14:paraId="098D7F36" w14:textId="77777777" w:rsidR="00A0300C" w:rsidRPr="00232C16" w:rsidRDefault="00A0300C" w:rsidP="004E24C3">
      <w:pPr>
        <w:pStyle w:val="Bullet"/>
        <w:rPr>
          <w:rFonts w:ascii="Arial" w:hAnsi="Arial" w:cs="Arial"/>
        </w:rPr>
      </w:pPr>
      <w:r w:rsidRPr="00232C16">
        <w:rPr>
          <w:rFonts w:ascii="Arial" w:hAnsi="Arial" w:cs="Arial"/>
        </w:rPr>
        <w:t>preparing various applications, management plans and written reports to prescribed standards and in prescribed forms.</w:t>
      </w:r>
    </w:p>
    <w:p w14:paraId="1455E52E" w14:textId="5AC05ADE"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A principal function of Heritage Advisors under the Act is to assist </w:t>
      </w:r>
      <w:r w:rsidR="007967D1" w:rsidRPr="00232C16">
        <w:rPr>
          <w:rFonts w:ascii="Arial" w:eastAsia="Times" w:hAnsi="Arial" w:cs="Arial"/>
          <w:color w:val="000000" w:themeColor="text1"/>
        </w:rPr>
        <w:t xml:space="preserve">in the </w:t>
      </w:r>
      <w:r w:rsidRPr="00232C16">
        <w:rPr>
          <w:rFonts w:ascii="Arial" w:eastAsia="Times" w:hAnsi="Arial" w:cs="Arial"/>
          <w:color w:val="000000" w:themeColor="text1"/>
        </w:rPr>
        <w:t>prepar</w:t>
      </w:r>
      <w:r w:rsidR="003D1880" w:rsidRPr="00232C16">
        <w:rPr>
          <w:rFonts w:ascii="Arial" w:eastAsia="Times" w:hAnsi="Arial" w:cs="Arial"/>
          <w:color w:val="000000" w:themeColor="text1"/>
        </w:rPr>
        <w:t>ation</w:t>
      </w:r>
      <w:r w:rsidRPr="00232C16">
        <w:rPr>
          <w:rFonts w:ascii="Arial" w:eastAsia="Times" w:hAnsi="Arial" w:cs="Arial"/>
          <w:color w:val="000000" w:themeColor="text1"/>
        </w:rPr>
        <w:t xml:space="preserve"> </w:t>
      </w:r>
      <w:r w:rsidR="007967D1" w:rsidRPr="00232C16">
        <w:rPr>
          <w:rFonts w:ascii="Arial" w:eastAsia="Times" w:hAnsi="Arial" w:cs="Arial"/>
          <w:color w:val="000000" w:themeColor="text1"/>
        </w:rPr>
        <w:t xml:space="preserve">of </w:t>
      </w:r>
      <w:r w:rsidRPr="00232C16">
        <w:rPr>
          <w:rFonts w:ascii="Arial" w:eastAsia="Times" w:hAnsi="Arial" w:cs="Arial"/>
          <w:color w:val="000000" w:themeColor="text1"/>
        </w:rPr>
        <w:t xml:space="preserve">cultural heritage management plans. Sponsors </w:t>
      </w:r>
      <w:r w:rsidRPr="00232C16">
        <w:rPr>
          <w:rFonts w:ascii="Arial" w:eastAsia="Times" w:hAnsi="Arial" w:cs="Arial"/>
          <w:i/>
          <w:iCs/>
          <w:color w:val="000000" w:themeColor="text1"/>
        </w:rPr>
        <w:t>must</w:t>
      </w:r>
      <w:r w:rsidRPr="00232C16">
        <w:rPr>
          <w:rFonts w:ascii="Arial" w:eastAsia="Times" w:hAnsi="Arial" w:cs="Arial"/>
          <w:color w:val="000000" w:themeColor="text1"/>
        </w:rPr>
        <w:t xml:space="preserve"> engage a Heritage Advisor to assist them prepar</w:t>
      </w:r>
      <w:r w:rsidR="00645A76" w:rsidRPr="00232C16">
        <w:rPr>
          <w:rFonts w:ascii="Arial" w:eastAsia="Times" w:hAnsi="Arial" w:cs="Arial"/>
          <w:color w:val="000000" w:themeColor="text1"/>
        </w:rPr>
        <w:t>e</w:t>
      </w:r>
      <w:r w:rsidRPr="00232C16">
        <w:rPr>
          <w:rFonts w:ascii="Arial" w:eastAsia="Times" w:hAnsi="Arial" w:cs="Arial"/>
          <w:color w:val="000000" w:themeColor="text1"/>
        </w:rPr>
        <w:t xml:space="preserve"> such plans. This is the case whether the proposed activity or development requires a plan under the Act, or whether a person pursues preparation of a plan voluntarily. </w:t>
      </w:r>
    </w:p>
    <w:p w14:paraId="3E45CFC8" w14:textId="60BEE5BF"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Heritage Advisors may access the Register by request, for purposes specified in the Act. Access to the Register supports the research that underpins the preparation of cultural heritage management plans. It can also support other processes under the Act, including applications for a preliminary Aboriginal heritage test, or to support cultural heritage audits or reaching Aboriginal cultural heritage land management agreements. </w:t>
      </w:r>
      <w:r w:rsidR="00D65ED7" w:rsidRPr="00232C16">
        <w:rPr>
          <w:rFonts w:ascii="Arial" w:eastAsia="Times" w:hAnsi="Arial" w:cs="Arial"/>
          <w:color w:val="000000" w:themeColor="text1"/>
        </w:rPr>
        <w:t>Where access to sensitive Aboriginal heritage information is sought, this may be subject to conditions.</w:t>
      </w:r>
    </w:p>
    <w:p w14:paraId="1740FCBB" w14:textId="3ECD3033"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The Act also provides that Heritage Advisors can access the Register by request if they are appointed by a proposed developer, purchaser, user</w:t>
      </w:r>
      <w:r w:rsidR="0087042A" w:rsidRPr="00232C16">
        <w:rPr>
          <w:rFonts w:ascii="Arial" w:eastAsia="Times" w:hAnsi="Arial" w:cs="Arial"/>
          <w:color w:val="000000" w:themeColor="text1"/>
        </w:rPr>
        <w:t xml:space="preserve"> </w:t>
      </w:r>
      <w:r w:rsidRPr="00232C16">
        <w:rPr>
          <w:rFonts w:ascii="Arial" w:eastAsia="Times" w:hAnsi="Arial" w:cs="Arial"/>
          <w:color w:val="000000" w:themeColor="text1"/>
        </w:rPr>
        <w:t>or owner of land</w:t>
      </w:r>
      <w:r w:rsidR="002105DE" w:rsidRPr="00232C16">
        <w:rPr>
          <w:rFonts w:ascii="Arial" w:eastAsia="Times" w:hAnsi="Arial" w:cs="Arial"/>
          <w:color w:val="000000" w:themeColor="text1"/>
        </w:rPr>
        <w:t>,</w:t>
      </w:r>
      <w:r w:rsidRPr="00232C16">
        <w:rPr>
          <w:rFonts w:ascii="Arial" w:eastAsia="Times" w:hAnsi="Arial" w:cs="Arial"/>
          <w:color w:val="000000" w:themeColor="text1"/>
        </w:rPr>
        <w:t xml:space="preserve"> or by a person or body responsible for managing Crown Land</w:t>
      </w:r>
      <w:r w:rsidR="00885043" w:rsidRPr="00232C16">
        <w:rPr>
          <w:rFonts w:ascii="Arial" w:eastAsia="Times" w:hAnsi="Arial" w:cs="Arial"/>
          <w:color w:val="000000" w:themeColor="text1"/>
        </w:rPr>
        <w:t xml:space="preserve">, </w:t>
      </w:r>
      <w:r w:rsidRPr="00232C16">
        <w:rPr>
          <w:rFonts w:ascii="Arial" w:eastAsia="Times" w:hAnsi="Arial" w:cs="Arial"/>
          <w:color w:val="000000" w:themeColor="text1"/>
        </w:rPr>
        <w:t xml:space="preserve">or </w:t>
      </w:r>
      <w:r w:rsidR="00DC54BE" w:rsidRPr="00232C16">
        <w:rPr>
          <w:rFonts w:ascii="Arial" w:eastAsia="Times" w:hAnsi="Arial" w:cs="Arial"/>
          <w:color w:val="000000" w:themeColor="text1"/>
        </w:rPr>
        <w:t xml:space="preserve">if </w:t>
      </w:r>
      <w:r w:rsidRPr="00232C16">
        <w:rPr>
          <w:rFonts w:ascii="Arial" w:eastAsia="Times" w:hAnsi="Arial" w:cs="Arial"/>
          <w:color w:val="000000" w:themeColor="text1"/>
        </w:rPr>
        <w:t xml:space="preserve">appointed </w:t>
      </w:r>
      <w:r w:rsidR="00EC2277" w:rsidRPr="00232C16">
        <w:rPr>
          <w:rFonts w:ascii="Arial" w:eastAsia="Times" w:hAnsi="Arial" w:cs="Arial"/>
          <w:color w:val="000000" w:themeColor="text1"/>
        </w:rPr>
        <w:t xml:space="preserve">or employed </w:t>
      </w:r>
      <w:r w:rsidRPr="00232C16">
        <w:rPr>
          <w:rFonts w:ascii="Arial" w:eastAsia="Times" w:hAnsi="Arial" w:cs="Arial"/>
          <w:color w:val="000000" w:themeColor="text1"/>
        </w:rPr>
        <w:t>by local government</w:t>
      </w:r>
      <w:r w:rsidR="00A612B0" w:rsidRPr="00232C16">
        <w:rPr>
          <w:rFonts w:ascii="Arial" w:eastAsia="Times" w:hAnsi="Arial" w:cs="Arial"/>
          <w:color w:val="000000" w:themeColor="text1"/>
        </w:rPr>
        <w:t>,</w:t>
      </w:r>
      <w:r w:rsidRPr="00232C16">
        <w:rPr>
          <w:rFonts w:ascii="Arial" w:eastAsia="Times" w:hAnsi="Arial" w:cs="Arial"/>
          <w:color w:val="000000" w:themeColor="text1"/>
        </w:rPr>
        <w:t xml:space="preserve"> to obtain information on any Aboriginal cultural heritage in any relevant land</w:t>
      </w:r>
      <w:r w:rsidR="00ED7F64" w:rsidRPr="00232C16">
        <w:rPr>
          <w:rFonts w:ascii="Arial" w:eastAsia="Times" w:hAnsi="Arial" w:cs="Arial"/>
          <w:color w:val="000000" w:themeColor="text1"/>
        </w:rPr>
        <w:t xml:space="preserve">. </w:t>
      </w:r>
      <w:r w:rsidRPr="00232C16">
        <w:rPr>
          <w:rFonts w:ascii="Arial" w:eastAsia="Times" w:hAnsi="Arial" w:cs="Arial"/>
          <w:color w:val="000000" w:themeColor="text1"/>
        </w:rPr>
        <w:t>The</w:t>
      </w:r>
      <w:r w:rsidR="008436E2" w:rsidRPr="00232C16">
        <w:rPr>
          <w:rFonts w:ascii="Arial" w:eastAsia="Times" w:hAnsi="Arial" w:cs="Arial"/>
          <w:color w:val="000000" w:themeColor="text1"/>
        </w:rPr>
        <w:t xml:space="preserve"> </w:t>
      </w:r>
      <w:r w:rsidRPr="00232C16">
        <w:rPr>
          <w:rFonts w:ascii="Arial" w:eastAsia="Times" w:hAnsi="Arial" w:cs="Arial"/>
          <w:color w:val="000000" w:themeColor="text1"/>
        </w:rPr>
        <w:t xml:space="preserve">advice </w:t>
      </w:r>
      <w:r w:rsidR="008436E2" w:rsidRPr="00232C16">
        <w:rPr>
          <w:rFonts w:ascii="Arial" w:eastAsia="Times" w:hAnsi="Arial" w:cs="Arial"/>
          <w:color w:val="000000" w:themeColor="text1"/>
        </w:rPr>
        <w:t xml:space="preserve">of a Heritage Advisor </w:t>
      </w:r>
      <w:r w:rsidR="00206720" w:rsidRPr="00232C16">
        <w:rPr>
          <w:rFonts w:ascii="Arial" w:eastAsia="Times" w:hAnsi="Arial" w:cs="Arial"/>
          <w:color w:val="000000" w:themeColor="text1"/>
        </w:rPr>
        <w:t xml:space="preserve">will </w:t>
      </w:r>
      <w:r w:rsidR="00401990">
        <w:rPr>
          <w:rFonts w:ascii="Arial" w:eastAsia="Times" w:hAnsi="Arial" w:cs="Arial"/>
          <w:color w:val="000000" w:themeColor="text1"/>
        </w:rPr>
        <w:t xml:space="preserve">likely </w:t>
      </w:r>
      <w:r w:rsidRPr="00232C16">
        <w:rPr>
          <w:rFonts w:ascii="Arial" w:eastAsia="Times" w:hAnsi="Arial" w:cs="Arial"/>
          <w:color w:val="000000" w:themeColor="text1"/>
        </w:rPr>
        <w:t xml:space="preserve">be one of </w:t>
      </w:r>
      <w:r w:rsidR="00FA70CF" w:rsidRPr="00232C16">
        <w:rPr>
          <w:rFonts w:ascii="Arial" w:eastAsia="Times" w:hAnsi="Arial" w:cs="Arial"/>
          <w:color w:val="000000" w:themeColor="text1"/>
        </w:rPr>
        <w:t>several</w:t>
      </w:r>
      <w:r w:rsidRPr="00232C16">
        <w:rPr>
          <w:rFonts w:ascii="Arial" w:eastAsia="Times" w:hAnsi="Arial" w:cs="Arial"/>
          <w:color w:val="000000" w:themeColor="text1"/>
        </w:rPr>
        <w:t xml:space="preserve"> inputs into decisions about land use, planning, development or management, where the potential or actual presence of Aboriginal cultural heritage needs to be considered and steps need to be taken to avoid impacts or harm. </w:t>
      </w:r>
    </w:p>
    <w:p w14:paraId="332C59F1" w14:textId="77777777" w:rsidR="00A0300C" w:rsidRPr="00232C16" w:rsidRDefault="00A0300C" w:rsidP="004E24C3">
      <w:pPr>
        <w:pStyle w:val="Heading2"/>
        <w:rPr>
          <w:rFonts w:ascii="Arial" w:hAnsi="Arial"/>
        </w:rPr>
      </w:pPr>
      <w:r w:rsidRPr="00232C16">
        <w:rPr>
          <w:rFonts w:ascii="Arial" w:hAnsi="Arial"/>
        </w:rPr>
        <w:t xml:space="preserve">Appropriate qualifications and experience </w:t>
      </w:r>
    </w:p>
    <w:p w14:paraId="47833B62" w14:textId="5F5F9340" w:rsidR="00A0300C" w:rsidRPr="00232C16" w:rsidRDefault="00A0300C" w:rsidP="00A0300C">
      <w:pPr>
        <w:spacing w:line="300" w:lineRule="atLeast"/>
        <w:rPr>
          <w:rFonts w:ascii="Arial" w:eastAsia="Times" w:hAnsi="Arial" w:cs="Arial"/>
          <w:b/>
          <w:bCs/>
          <w:color w:val="000000" w:themeColor="text1"/>
        </w:rPr>
      </w:pPr>
      <w:r w:rsidRPr="00232C16">
        <w:rPr>
          <w:rFonts w:ascii="Arial" w:eastAsia="Times" w:hAnsi="Arial" w:cs="Arial"/>
          <w:color w:val="000000" w:themeColor="text1"/>
        </w:rPr>
        <w:t>Subsection 189(1) of the Act st</w:t>
      </w:r>
      <w:r w:rsidR="005B3952" w:rsidRPr="00232C16">
        <w:rPr>
          <w:rFonts w:ascii="Arial" w:eastAsia="Times" w:hAnsi="Arial" w:cs="Arial"/>
          <w:color w:val="000000" w:themeColor="text1"/>
        </w:rPr>
        <w:t>ates</w:t>
      </w:r>
      <w:r w:rsidRPr="00232C16">
        <w:rPr>
          <w:rFonts w:ascii="Arial" w:eastAsia="Times" w:hAnsi="Arial" w:cs="Arial"/>
          <w:color w:val="000000" w:themeColor="text1"/>
        </w:rPr>
        <w:t>:</w:t>
      </w:r>
    </w:p>
    <w:p w14:paraId="1089E75C" w14:textId="77777777" w:rsidR="00A0300C" w:rsidRPr="00232C16" w:rsidRDefault="00A0300C" w:rsidP="00A0300C">
      <w:pPr>
        <w:spacing w:line="300" w:lineRule="atLeast"/>
        <w:ind w:left="397" w:hanging="397"/>
        <w:rPr>
          <w:rFonts w:ascii="Arial" w:eastAsia="Times" w:hAnsi="Arial" w:cs="Arial"/>
          <w:i/>
          <w:iCs/>
          <w:color w:val="000000" w:themeColor="text1"/>
        </w:rPr>
      </w:pPr>
      <w:r w:rsidRPr="00232C16">
        <w:rPr>
          <w:rFonts w:ascii="Arial" w:eastAsia="Times" w:hAnsi="Arial" w:cs="Arial"/>
          <w:color w:val="000000" w:themeColor="text1"/>
        </w:rPr>
        <w:tab/>
      </w:r>
      <w:r w:rsidRPr="00232C16">
        <w:rPr>
          <w:rFonts w:ascii="Arial" w:eastAsia="Times" w:hAnsi="Arial" w:cs="Arial"/>
          <w:i/>
          <w:iCs/>
          <w:color w:val="000000" w:themeColor="text1"/>
        </w:rPr>
        <w:t>A person may only be engaged as a heritage advisor under this Act if the person—</w:t>
      </w:r>
    </w:p>
    <w:p w14:paraId="157D7636" w14:textId="77777777" w:rsidR="00A0300C" w:rsidRPr="00232C16" w:rsidRDefault="00A0300C" w:rsidP="00A0300C">
      <w:pPr>
        <w:spacing w:line="300" w:lineRule="atLeast"/>
        <w:ind w:left="794" w:hanging="397"/>
        <w:rPr>
          <w:rFonts w:ascii="Arial" w:eastAsia="Times" w:hAnsi="Arial" w:cs="Arial"/>
          <w:i/>
          <w:iCs/>
          <w:color w:val="000000" w:themeColor="text1"/>
        </w:rPr>
      </w:pPr>
      <w:r w:rsidRPr="00232C16">
        <w:rPr>
          <w:rFonts w:ascii="Arial" w:eastAsia="Times" w:hAnsi="Arial" w:cs="Arial"/>
          <w:i/>
          <w:iCs/>
          <w:color w:val="000000" w:themeColor="text1"/>
        </w:rPr>
        <w:t xml:space="preserve">(a) </w:t>
      </w:r>
      <w:r w:rsidRPr="00232C16">
        <w:rPr>
          <w:rFonts w:ascii="Arial" w:eastAsia="Times" w:hAnsi="Arial" w:cs="Arial"/>
          <w:i/>
          <w:iCs/>
          <w:color w:val="000000" w:themeColor="text1"/>
        </w:rPr>
        <w:tab/>
        <w:t>is appropriately qualified and experienced in a discipline directly relevant to the management of Aboriginal cultural heritage, such as anthropology, archaeology or history; or</w:t>
      </w:r>
    </w:p>
    <w:p w14:paraId="1422EF94" w14:textId="77777777" w:rsidR="00A0300C" w:rsidRPr="00232C16" w:rsidRDefault="00A0300C" w:rsidP="00A0300C">
      <w:pPr>
        <w:spacing w:line="300" w:lineRule="atLeast"/>
        <w:ind w:left="794" w:hanging="397"/>
        <w:rPr>
          <w:rFonts w:ascii="Arial" w:eastAsia="Times" w:hAnsi="Arial" w:cs="Arial"/>
          <w:i/>
          <w:iCs/>
          <w:color w:val="000000" w:themeColor="text1"/>
        </w:rPr>
      </w:pPr>
      <w:r w:rsidRPr="00232C16">
        <w:rPr>
          <w:rFonts w:ascii="Arial" w:eastAsia="Times" w:hAnsi="Arial" w:cs="Arial"/>
          <w:i/>
          <w:iCs/>
          <w:color w:val="000000" w:themeColor="text1"/>
        </w:rPr>
        <w:lastRenderedPageBreak/>
        <w:t xml:space="preserve">(b) </w:t>
      </w:r>
      <w:r w:rsidRPr="00232C16">
        <w:rPr>
          <w:rFonts w:ascii="Arial" w:eastAsia="Times" w:hAnsi="Arial" w:cs="Arial"/>
          <w:i/>
          <w:iCs/>
          <w:color w:val="000000" w:themeColor="text1"/>
        </w:rPr>
        <w:tab/>
        <w:t xml:space="preserve">has extensive experience or knowledge in relation to the management of Aboriginal cultural heritage. </w:t>
      </w:r>
    </w:p>
    <w:p w14:paraId="12445AF4" w14:textId="6A8C8F4C"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Subsection 189(2) of the Act establishes that the Minister may make guidelines specifying appropriate qualifications and experience of Heritage Advisors</w:t>
      </w:r>
      <w:r w:rsidR="00230793" w:rsidRPr="00232C16">
        <w:rPr>
          <w:rFonts w:ascii="Arial" w:eastAsia="Times" w:hAnsi="Arial" w:cs="Arial"/>
          <w:color w:val="000000" w:themeColor="text1"/>
        </w:rPr>
        <w:t xml:space="preserve">. </w:t>
      </w:r>
      <w:r w:rsidRPr="00232C16">
        <w:rPr>
          <w:rFonts w:ascii="Arial" w:eastAsia="Times" w:hAnsi="Arial" w:cs="Arial"/>
          <w:color w:val="000000" w:themeColor="text1"/>
        </w:rPr>
        <w:t xml:space="preserve">The Minister </w:t>
      </w:r>
      <w:r w:rsidR="00C27F4B" w:rsidRPr="00232C16">
        <w:rPr>
          <w:rFonts w:ascii="Arial" w:eastAsia="Times" w:hAnsi="Arial" w:cs="Arial"/>
          <w:color w:val="000000" w:themeColor="text1"/>
        </w:rPr>
        <w:t>has consulted with the Vic</w:t>
      </w:r>
      <w:r w:rsidR="00813A21" w:rsidRPr="00232C16">
        <w:rPr>
          <w:rFonts w:ascii="Arial" w:eastAsia="Times" w:hAnsi="Arial" w:cs="Arial"/>
          <w:color w:val="000000" w:themeColor="text1"/>
        </w:rPr>
        <w:t>to</w:t>
      </w:r>
      <w:r w:rsidR="00C27F4B" w:rsidRPr="00232C16">
        <w:rPr>
          <w:rFonts w:ascii="Arial" w:eastAsia="Times" w:hAnsi="Arial" w:cs="Arial"/>
          <w:color w:val="000000" w:themeColor="text1"/>
        </w:rPr>
        <w:t xml:space="preserve">rian Aboriginal Heritage Council before making these </w:t>
      </w:r>
      <w:r w:rsidR="009A717E" w:rsidRPr="00232C16">
        <w:rPr>
          <w:rFonts w:ascii="Arial" w:eastAsia="Times" w:hAnsi="Arial" w:cs="Arial"/>
          <w:color w:val="000000" w:themeColor="text1"/>
        </w:rPr>
        <w:t>G</w:t>
      </w:r>
      <w:r w:rsidR="00C27F4B" w:rsidRPr="00232C16">
        <w:rPr>
          <w:rFonts w:ascii="Arial" w:eastAsia="Times" w:hAnsi="Arial" w:cs="Arial"/>
          <w:color w:val="000000" w:themeColor="text1"/>
        </w:rPr>
        <w:t xml:space="preserve">uidelines, as </w:t>
      </w:r>
      <w:r w:rsidR="00813A21" w:rsidRPr="00232C16">
        <w:rPr>
          <w:rFonts w:ascii="Arial" w:eastAsia="Times" w:hAnsi="Arial" w:cs="Arial"/>
          <w:color w:val="000000" w:themeColor="text1"/>
        </w:rPr>
        <w:t xml:space="preserve">required by subsection 189(3) of the Act. </w:t>
      </w:r>
    </w:p>
    <w:p w14:paraId="6361F810" w14:textId="77777777" w:rsidR="00A0300C" w:rsidRPr="00232C16" w:rsidRDefault="00A0300C" w:rsidP="004E24C3">
      <w:pPr>
        <w:pStyle w:val="Heading2"/>
        <w:rPr>
          <w:rFonts w:ascii="Arial" w:hAnsi="Arial"/>
        </w:rPr>
      </w:pPr>
      <w:r w:rsidRPr="00232C16">
        <w:rPr>
          <w:rFonts w:ascii="Arial" w:hAnsi="Arial"/>
        </w:rPr>
        <w:t>The Guidelines</w:t>
      </w:r>
    </w:p>
    <w:p w14:paraId="40766B35" w14:textId="77777777" w:rsidR="00A0300C" w:rsidRPr="00232C16" w:rsidRDefault="00A0300C" w:rsidP="004E24C3">
      <w:pPr>
        <w:pStyle w:val="Heading3"/>
        <w:rPr>
          <w:rFonts w:ascii="Arial" w:eastAsia="Times" w:hAnsi="Arial" w:cs="Arial"/>
        </w:rPr>
      </w:pPr>
      <w:r w:rsidRPr="00232C16">
        <w:rPr>
          <w:rFonts w:ascii="Arial" w:eastAsia="Times" w:hAnsi="Arial" w:cs="Arial"/>
        </w:rPr>
        <w:t>Section 189(1)(a):</w:t>
      </w:r>
      <w:r w:rsidRPr="00232C16">
        <w:rPr>
          <w:rFonts w:ascii="Arial" w:eastAsia="Times" w:hAnsi="Arial" w:cs="Arial"/>
        </w:rPr>
        <w:br/>
        <w:t xml:space="preserve">Qualifications and experience in a directly relevant discipline </w:t>
      </w:r>
    </w:p>
    <w:p w14:paraId="19FBB197" w14:textId="77777777"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A person may be engaged as a Heritage Advisor if they hold a combination of qualifications and experience in a discipline directly relevant to the management of Aboriginal cultural heritage, as follows:</w:t>
      </w:r>
    </w:p>
    <w:p w14:paraId="67D89F75" w14:textId="77777777" w:rsidR="00A0300C" w:rsidRPr="00A075F8" w:rsidRDefault="00A0300C" w:rsidP="004E24C3">
      <w:pPr>
        <w:pStyle w:val="Heading4"/>
        <w:rPr>
          <w:rFonts w:ascii="Arial" w:eastAsia="Times" w:hAnsi="Arial" w:cs="Arial"/>
          <w:b w:val="0"/>
          <w:bCs/>
          <w:i w:val="0"/>
          <w:iCs w:val="0"/>
        </w:rPr>
      </w:pPr>
      <w:r w:rsidRPr="00A075F8">
        <w:rPr>
          <w:rFonts w:ascii="Arial" w:eastAsia="Times" w:hAnsi="Arial" w:cs="Arial"/>
          <w:b w:val="0"/>
          <w:bCs/>
          <w:i w:val="0"/>
          <w:iCs w:val="0"/>
        </w:rPr>
        <w:t>Qualifications</w:t>
      </w:r>
    </w:p>
    <w:p w14:paraId="7C6A2EC8" w14:textId="3958F0FB" w:rsidR="00A0300C" w:rsidRPr="00232C16" w:rsidRDefault="00A0300C" w:rsidP="0075357F">
      <w:pPr>
        <w:pStyle w:val="ListParagraph"/>
        <w:numPr>
          <w:ilvl w:val="0"/>
          <w:numId w:val="9"/>
        </w:numPr>
        <w:spacing w:line="300" w:lineRule="atLeast"/>
        <w:ind w:hanging="357"/>
        <w:rPr>
          <w:rFonts w:ascii="Arial" w:eastAsia="Times" w:hAnsi="Arial"/>
          <w:color w:val="000000" w:themeColor="text1"/>
        </w:rPr>
      </w:pPr>
      <w:r w:rsidRPr="00232C16">
        <w:rPr>
          <w:rFonts w:ascii="Arial" w:eastAsia="Times" w:hAnsi="Arial"/>
          <w:color w:val="000000" w:themeColor="text1"/>
        </w:rPr>
        <w:t>A qualification at Level 8 or above of the Australian Qualifications Framework (bachelor’s degree with honours, or graduate diploma or graduate certificate) with a major in archaeology, anthropology, history or cultural heritage management, or another discipline directly relevant to the management of Aboriginal cultural heritage, including</w:t>
      </w:r>
      <w:r w:rsidR="00254E51" w:rsidRPr="00232C16">
        <w:rPr>
          <w:rFonts w:ascii="Arial" w:eastAsia="Times" w:hAnsi="Arial"/>
          <w:color w:val="000000" w:themeColor="text1"/>
        </w:rPr>
        <w:t xml:space="preserve"> </w:t>
      </w:r>
      <w:r w:rsidRPr="00232C16">
        <w:rPr>
          <w:rFonts w:ascii="Arial" w:eastAsia="Times" w:hAnsi="Arial"/>
          <w:color w:val="000000" w:themeColor="text1"/>
        </w:rPr>
        <w:t xml:space="preserve">intangible heritage. </w:t>
      </w:r>
    </w:p>
    <w:p w14:paraId="1091A259" w14:textId="77777777" w:rsidR="00A0300C" w:rsidRPr="00232C16" w:rsidRDefault="00A0300C" w:rsidP="0075357F">
      <w:pPr>
        <w:pStyle w:val="ListParagraph"/>
        <w:numPr>
          <w:ilvl w:val="1"/>
          <w:numId w:val="10"/>
        </w:numPr>
        <w:spacing w:line="300" w:lineRule="atLeast"/>
        <w:ind w:hanging="357"/>
        <w:rPr>
          <w:rFonts w:ascii="Arial" w:eastAsia="Times" w:hAnsi="Arial"/>
          <w:color w:val="000000" w:themeColor="text1"/>
        </w:rPr>
      </w:pPr>
      <w:r w:rsidRPr="00232C16">
        <w:rPr>
          <w:rFonts w:ascii="Arial" w:eastAsia="Times" w:hAnsi="Arial"/>
          <w:color w:val="000000" w:themeColor="text1"/>
        </w:rPr>
        <w:t xml:space="preserve">Two or more subjects studied towards the qualification, or in addition to the qualification, must be focused on Aboriginal Australia. </w:t>
      </w:r>
    </w:p>
    <w:p w14:paraId="3E0DF531" w14:textId="22BB14FC" w:rsidR="00A0300C" w:rsidRPr="00232C16" w:rsidRDefault="00A0300C" w:rsidP="0075357F">
      <w:pPr>
        <w:pStyle w:val="ListParagraph"/>
        <w:numPr>
          <w:ilvl w:val="1"/>
          <w:numId w:val="10"/>
        </w:numPr>
        <w:spacing w:line="300" w:lineRule="atLeast"/>
        <w:ind w:hanging="357"/>
        <w:rPr>
          <w:rFonts w:ascii="Arial" w:eastAsia="Times" w:hAnsi="Arial"/>
          <w:color w:val="000000" w:themeColor="text1"/>
        </w:rPr>
      </w:pPr>
      <w:r w:rsidRPr="00232C16">
        <w:rPr>
          <w:rFonts w:ascii="Arial" w:eastAsia="Times" w:hAnsi="Arial"/>
          <w:color w:val="000000" w:themeColor="text1"/>
        </w:rPr>
        <w:t>Where less than two subjects have included a focus on Aboriginal Australia, then an additional year of full-time practical experience, or equivalent, in an Aboriginal cultural heritage management setting in south-eastern Australia</w:t>
      </w:r>
      <w:r w:rsidR="000879C0" w:rsidRPr="00232C16">
        <w:rPr>
          <w:rFonts w:ascii="Arial" w:eastAsia="Times" w:hAnsi="Arial"/>
          <w:color w:val="000000" w:themeColor="text1"/>
        </w:rPr>
        <w:t xml:space="preserve"> is required</w:t>
      </w:r>
      <w:r w:rsidRPr="00232C16">
        <w:rPr>
          <w:rFonts w:ascii="Arial" w:eastAsia="Times" w:hAnsi="Arial"/>
          <w:color w:val="000000" w:themeColor="text1"/>
        </w:rPr>
        <w:t xml:space="preserve">. For the avoidance of doubt, this is in addition to the minimum experience required under </w:t>
      </w:r>
      <w:r w:rsidR="00BC07C0" w:rsidRPr="00232C16">
        <w:rPr>
          <w:rFonts w:ascii="Arial" w:eastAsia="Times" w:hAnsi="Arial"/>
          <w:color w:val="000000" w:themeColor="text1"/>
        </w:rPr>
        <w:t xml:space="preserve">point </w:t>
      </w:r>
      <w:r w:rsidR="002A5B19" w:rsidRPr="00232C16">
        <w:rPr>
          <w:rFonts w:ascii="Arial" w:eastAsia="Times" w:hAnsi="Arial"/>
          <w:color w:val="000000" w:themeColor="text1"/>
        </w:rPr>
        <w:t>3</w:t>
      </w:r>
      <w:r w:rsidR="0033475C" w:rsidRPr="00232C16">
        <w:rPr>
          <w:rFonts w:ascii="Arial" w:eastAsia="Times" w:hAnsi="Arial"/>
          <w:color w:val="000000" w:themeColor="text1"/>
        </w:rPr>
        <w:t xml:space="preserve"> below</w:t>
      </w:r>
      <w:r w:rsidRPr="00232C16">
        <w:rPr>
          <w:rFonts w:ascii="Arial" w:eastAsia="Times" w:hAnsi="Arial"/>
          <w:color w:val="000000" w:themeColor="text1"/>
        </w:rPr>
        <w:t xml:space="preserve">. </w:t>
      </w:r>
    </w:p>
    <w:p w14:paraId="38842FDE" w14:textId="7DF45DB0" w:rsidR="00A0300C" w:rsidRPr="00232C16" w:rsidRDefault="00A0300C" w:rsidP="005B2C7E">
      <w:pPr>
        <w:pStyle w:val="ListParagraph"/>
        <w:numPr>
          <w:ilvl w:val="0"/>
          <w:numId w:val="9"/>
        </w:numPr>
        <w:spacing w:line="300" w:lineRule="atLeast"/>
        <w:ind w:hanging="357"/>
        <w:rPr>
          <w:rFonts w:ascii="Arial" w:eastAsia="Times" w:hAnsi="Arial"/>
          <w:color w:val="000000" w:themeColor="text1"/>
        </w:rPr>
      </w:pPr>
      <w:r w:rsidRPr="00232C16">
        <w:rPr>
          <w:rFonts w:ascii="Arial" w:eastAsia="Times" w:hAnsi="Arial"/>
          <w:color w:val="000000" w:themeColor="text1"/>
        </w:rPr>
        <w:t xml:space="preserve">Alternative to </w:t>
      </w:r>
      <w:r w:rsidR="0033475C" w:rsidRPr="00232C16">
        <w:rPr>
          <w:rFonts w:ascii="Arial" w:eastAsia="Times" w:hAnsi="Arial"/>
          <w:color w:val="000000" w:themeColor="text1"/>
        </w:rPr>
        <w:t>point 1 above</w:t>
      </w:r>
      <w:r w:rsidRPr="00232C16">
        <w:rPr>
          <w:rFonts w:ascii="Arial" w:eastAsia="Times" w:hAnsi="Arial"/>
          <w:color w:val="000000" w:themeColor="text1"/>
        </w:rPr>
        <w:t>, membership of any of the following professional bodies at the level specified is considered to demonstrate an appropriate qualification level:</w:t>
      </w:r>
    </w:p>
    <w:p w14:paraId="422D3409" w14:textId="77777777" w:rsidR="00A0300C" w:rsidRPr="00232C16" w:rsidRDefault="00A0300C" w:rsidP="005B2C7E">
      <w:pPr>
        <w:pStyle w:val="ListParagraph"/>
        <w:numPr>
          <w:ilvl w:val="1"/>
          <w:numId w:val="11"/>
        </w:numPr>
        <w:spacing w:line="300" w:lineRule="atLeast"/>
        <w:rPr>
          <w:rFonts w:ascii="Arial" w:eastAsia="Times" w:hAnsi="Arial"/>
          <w:color w:val="000000" w:themeColor="text1"/>
        </w:rPr>
      </w:pPr>
      <w:r w:rsidRPr="00232C16">
        <w:rPr>
          <w:rFonts w:ascii="Arial" w:eastAsia="Times" w:hAnsi="Arial"/>
          <w:color w:val="000000" w:themeColor="text1"/>
        </w:rPr>
        <w:t xml:space="preserve">full membership of the Australian Association of Consulting Archaeologists Incorporated; </w:t>
      </w:r>
    </w:p>
    <w:p w14:paraId="5B3215AF" w14:textId="77777777" w:rsidR="00A0300C" w:rsidRPr="00232C16" w:rsidRDefault="00A0300C" w:rsidP="005B2C7E">
      <w:pPr>
        <w:pStyle w:val="ListParagraph"/>
        <w:numPr>
          <w:ilvl w:val="1"/>
          <w:numId w:val="11"/>
        </w:numPr>
        <w:spacing w:line="300" w:lineRule="atLeast"/>
        <w:ind w:hanging="357"/>
        <w:rPr>
          <w:rFonts w:ascii="Arial" w:eastAsia="Times" w:hAnsi="Arial"/>
          <w:color w:val="000000" w:themeColor="text1"/>
        </w:rPr>
      </w:pPr>
      <w:r w:rsidRPr="00232C16">
        <w:rPr>
          <w:rFonts w:ascii="Arial" w:eastAsia="Times" w:hAnsi="Arial"/>
          <w:color w:val="000000" w:themeColor="text1"/>
        </w:rPr>
        <w:t xml:space="preserve">fellow membership of the Australian Anthropological Society Incorporated; or </w:t>
      </w:r>
    </w:p>
    <w:p w14:paraId="05E281F1" w14:textId="3DD5DA7B" w:rsidR="00A0300C" w:rsidRPr="00232C16" w:rsidRDefault="00A0300C" w:rsidP="005B2C7E">
      <w:pPr>
        <w:pStyle w:val="ListParagraph"/>
        <w:numPr>
          <w:ilvl w:val="1"/>
          <w:numId w:val="11"/>
        </w:numPr>
        <w:spacing w:line="300" w:lineRule="atLeast"/>
        <w:ind w:hanging="357"/>
        <w:rPr>
          <w:rFonts w:ascii="Arial" w:eastAsia="Times" w:hAnsi="Arial"/>
          <w:color w:val="000000" w:themeColor="text1"/>
        </w:rPr>
      </w:pPr>
      <w:r w:rsidRPr="00232C16">
        <w:rPr>
          <w:rFonts w:ascii="Arial" w:eastAsia="Times" w:hAnsi="Arial"/>
          <w:color w:val="000000" w:themeColor="text1"/>
        </w:rPr>
        <w:t xml:space="preserve">membership as a Professional Historian or Professional Historian (Associate) of Professional Historians Australia. </w:t>
      </w:r>
    </w:p>
    <w:p w14:paraId="5D9F9B4B" w14:textId="77777777" w:rsidR="00A0300C" w:rsidRPr="00A075F8" w:rsidRDefault="00A0300C" w:rsidP="004E24C3">
      <w:pPr>
        <w:pStyle w:val="Heading4"/>
        <w:rPr>
          <w:rFonts w:ascii="Arial" w:eastAsia="Times" w:hAnsi="Arial" w:cs="Arial"/>
          <w:b w:val="0"/>
          <w:bCs/>
          <w:i w:val="0"/>
          <w:iCs w:val="0"/>
        </w:rPr>
      </w:pPr>
      <w:r w:rsidRPr="00A075F8">
        <w:rPr>
          <w:rFonts w:ascii="Arial" w:eastAsia="Times" w:hAnsi="Arial" w:cs="Arial"/>
          <w:b w:val="0"/>
          <w:bCs/>
          <w:i w:val="0"/>
          <w:iCs w:val="0"/>
        </w:rPr>
        <w:t>Experience</w:t>
      </w:r>
    </w:p>
    <w:p w14:paraId="4F15748C" w14:textId="7FA9D372" w:rsidR="00A0300C" w:rsidRPr="00232C16" w:rsidRDefault="00A0300C" w:rsidP="00510BDE">
      <w:pPr>
        <w:pStyle w:val="ListParagraph"/>
        <w:numPr>
          <w:ilvl w:val="0"/>
          <w:numId w:val="9"/>
        </w:numPr>
        <w:spacing w:line="300" w:lineRule="atLeast"/>
        <w:ind w:hanging="357"/>
        <w:rPr>
          <w:rFonts w:ascii="Arial" w:eastAsia="Times" w:hAnsi="Arial"/>
          <w:color w:val="000000" w:themeColor="text1"/>
        </w:rPr>
      </w:pPr>
      <w:r w:rsidRPr="00232C16">
        <w:rPr>
          <w:rFonts w:ascii="Arial" w:eastAsia="Times" w:hAnsi="Arial"/>
          <w:color w:val="000000" w:themeColor="text1"/>
        </w:rPr>
        <w:t xml:space="preserve">At minimum, one year of full-time practical experience, or equivalent, in an Aboriginal cultural heritage management setting in south-eastern Australia, following completion of the minimum tertiary qualification requirements </w:t>
      </w:r>
      <w:r w:rsidR="0017662B" w:rsidRPr="00232C16">
        <w:rPr>
          <w:rFonts w:ascii="Arial" w:eastAsia="Times" w:hAnsi="Arial"/>
          <w:color w:val="000000" w:themeColor="text1"/>
        </w:rPr>
        <w:t>described at point 1</w:t>
      </w:r>
      <w:r w:rsidRPr="00232C16">
        <w:rPr>
          <w:rFonts w:ascii="Arial" w:eastAsia="Times" w:hAnsi="Arial"/>
          <w:color w:val="000000" w:themeColor="text1"/>
        </w:rPr>
        <w:t xml:space="preserve"> above. This may be </w:t>
      </w:r>
      <w:r w:rsidRPr="00232C16">
        <w:rPr>
          <w:rFonts w:ascii="Arial" w:eastAsia="Times" w:hAnsi="Arial"/>
          <w:color w:val="000000" w:themeColor="text1"/>
        </w:rPr>
        <w:lastRenderedPageBreak/>
        <w:t xml:space="preserve">as an employee in a heritage management consultancy, for a Registered Aboriginal Party or equivalent interstate Aboriginal organisation, or in a public land authority or agency. </w:t>
      </w:r>
    </w:p>
    <w:p w14:paraId="0524F2B5" w14:textId="77777777" w:rsidR="00A0300C" w:rsidRPr="00232C16" w:rsidRDefault="00A0300C" w:rsidP="00DA0410">
      <w:pPr>
        <w:pStyle w:val="ListParagraph"/>
        <w:numPr>
          <w:ilvl w:val="0"/>
          <w:numId w:val="9"/>
        </w:numPr>
        <w:spacing w:line="300" w:lineRule="atLeast"/>
        <w:ind w:hanging="357"/>
        <w:rPr>
          <w:rFonts w:ascii="Arial" w:eastAsia="Times" w:hAnsi="Arial"/>
          <w:color w:val="000000" w:themeColor="text1"/>
          <w:spacing w:val="-4"/>
        </w:rPr>
      </w:pPr>
      <w:r w:rsidRPr="00232C16">
        <w:rPr>
          <w:rFonts w:ascii="Arial" w:eastAsia="Times" w:hAnsi="Arial"/>
          <w:color w:val="000000" w:themeColor="text1"/>
          <w:spacing w:val="-4"/>
        </w:rPr>
        <w:t>Practical experience must include fieldwork involving direct engagement or liaison with Traditional Owners. Contributing to the preparation of survey reports, cultural heritage permits and/or cultural heritage management plans cannot be limited to desktop assessment (such as is described at regulation 61 in the Aboriginal Heritage Regulations 2018).</w:t>
      </w:r>
    </w:p>
    <w:p w14:paraId="757FC70B" w14:textId="77777777" w:rsidR="00A0300C" w:rsidRPr="00232C16" w:rsidRDefault="00A0300C" w:rsidP="00DA0410">
      <w:pPr>
        <w:pStyle w:val="ListParagraph"/>
        <w:numPr>
          <w:ilvl w:val="0"/>
          <w:numId w:val="9"/>
        </w:numPr>
        <w:spacing w:line="300" w:lineRule="atLeast"/>
        <w:ind w:hanging="357"/>
        <w:rPr>
          <w:rFonts w:ascii="Arial" w:eastAsia="Times" w:hAnsi="Arial"/>
          <w:color w:val="000000" w:themeColor="text1"/>
        </w:rPr>
      </w:pPr>
      <w:r w:rsidRPr="00232C16">
        <w:rPr>
          <w:rFonts w:ascii="Arial" w:eastAsia="Times" w:hAnsi="Arial"/>
          <w:color w:val="000000" w:themeColor="text1"/>
        </w:rPr>
        <w:t xml:space="preserve">In addition, the following is strongly encouraged: </w:t>
      </w:r>
    </w:p>
    <w:p w14:paraId="4203E12A" w14:textId="77777777" w:rsidR="00A0300C" w:rsidRPr="00232C16" w:rsidRDefault="00A0300C" w:rsidP="00510BDE">
      <w:pPr>
        <w:pStyle w:val="ListParagraph"/>
        <w:numPr>
          <w:ilvl w:val="1"/>
          <w:numId w:val="12"/>
        </w:numPr>
        <w:spacing w:line="300" w:lineRule="atLeast"/>
        <w:rPr>
          <w:rFonts w:ascii="Arial" w:eastAsia="Times" w:hAnsi="Arial"/>
          <w:color w:val="000000" w:themeColor="text1"/>
        </w:rPr>
      </w:pPr>
      <w:r w:rsidRPr="00232C16">
        <w:rPr>
          <w:rFonts w:ascii="Arial" w:eastAsia="Times" w:hAnsi="Arial"/>
          <w:color w:val="000000" w:themeColor="text1"/>
        </w:rPr>
        <w:t xml:space="preserve">completion of instructor-led Aboriginal cultural awareness, cultural safety or cultural competency training; and </w:t>
      </w:r>
    </w:p>
    <w:p w14:paraId="29E1DEF4" w14:textId="77777777" w:rsidR="00A0300C" w:rsidRPr="00232C16" w:rsidRDefault="00A0300C" w:rsidP="00510BDE">
      <w:pPr>
        <w:pStyle w:val="ListParagraph"/>
        <w:numPr>
          <w:ilvl w:val="1"/>
          <w:numId w:val="12"/>
        </w:numPr>
        <w:spacing w:line="300" w:lineRule="atLeast"/>
        <w:rPr>
          <w:rFonts w:ascii="Arial" w:eastAsia="Times" w:hAnsi="Arial"/>
          <w:color w:val="000000" w:themeColor="text1"/>
        </w:rPr>
      </w:pPr>
      <w:r w:rsidRPr="00232C16">
        <w:rPr>
          <w:rFonts w:ascii="Arial" w:eastAsia="Times" w:hAnsi="Arial"/>
          <w:color w:val="000000" w:themeColor="text1"/>
        </w:rPr>
        <w:t>demonstrated commitment to ongoing professional development that is relevant to the management and protection of Aboriginal cultural heritage.</w:t>
      </w:r>
    </w:p>
    <w:p w14:paraId="5932F02F" w14:textId="378E3BDE" w:rsidR="00A0300C" w:rsidRPr="00232C16" w:rsidRDefault="00A0300C" w:rsidP="00510BDE">
      <w:pPr>
        <w:pStyle w:val="ListParagraph"/>
        <w:numPr>
          <w:ilvl w:val="0"/>
          <w:numId w:val="9"/>
        </w:numPr>
        <w:spacing w:line="300" w:lineRule="atLeast"/>
        <w:ind w:hanging="357"/>
        <w:rPr>
          <w:rFonts w:ascii="Arial" w:eastAsia="Times" w:hAnsi="Arial"/>
        </w:rPr>
      </w:pPr>
      <w:r w:rsidRPr="00232C16">
        <w:rPr>
          <w:rFonts w:ascii="Arial" w:eastAsia="Times" w:hAnsi="Arial"/>
          <w:color w:val="000000" w:themeColor="text1"/>
        </w:rPr>
        <w:t xml:space="preserve">Where a person meets the qualification requirements via </w:t>
      </w:r>
      <w:r w:rsidR="001B046A" w:rsidRPr="00232C16">
        <w:rPr>
          <w:rFonts w:ascii="Arial" w:eastAsia="Times" w:hAnsi="Arial"/>
          <w:color w:val="000000" w:themeColor="text1"/>
        </w:rPr>
        <w:t>point 2 above</w:t>
      </w:r>
      <w:r w:rsidRPr="00232C16">
        <w:rPr>
          <w:rFonts w:ascii="Arial" w:eastAsia="Times" w:hAnsi="Arial"/>
          <w:color w:val="000000" w:themeColor="text1"/>
        </w:rPr>
        <w:t xml:space="preserve"> (that is, via the specified membership of one of the named professional bodies), and where that membership requires a period of professional experience, this may be counted towards meeting the experience requirement at </w:t>
      </w:r>
      <w:r w:rsidR="008B0107" w:rsidRPr="00232C16">
        <w:rPr>
          <w:rFonts w:ascii="Arial" w:eastAsia="Times" w:hAnsi="Arial"/>
          <w:color w:val="000000" w:themeColor="text1"/>
        </w:rPr>
        <w:t>point 3</w:t>
      </w:r>
      <w:r w:rsidR="006A524C">
        <w:rPr>
          <w:rFonts w:ascii="Arial" w:eastAsia="Times" w:hAnsi="Arial"/>
          <w:color w:val="000000" w:themeColor="text1"/>
        </w:rPr>
        <w:t xml:space="preserve"> above</w:t>
      </w:r>
      <w:r w:rsidRPr="00232C16">
        <w:rPr>
          <w:rFonts w:ascii="Arial" w:eastAsia="Times" w:hAnsi="Arial"/>
          <w:color w:val="000000" w:themeColor="text1"/>
        </w:rPr>
        <w:t>, provided it is in an Aboriginal cultural heritage management setting in south-eastern Australia.</w:t>
      </w:r>
    </w:p>
    <w:p w14:paraId="12352819" w14:textId="77777777" w:rsidR="00A0300C" w:rsidRPr="00232C16" w:rsidRDefault="00A0300C" w:rsidP="004E24C3">
      <w:pPr>
        <w:pStyle w:val="Heading3"/>
        <w:rPr>
          <w:rFonts w:ascii="Arial" w:eastAsia="Times" w:hAnsi="Arial" w:cs="Arial"/>
        </w:rPr>
      </w:pPr>
      <w:r w:rsidRPr="00232C16">
        <w:rPr>
          <w:rFonts w:ascii="Arial" w:eastAsia="Times" w:hAnsi="Arial" w:cs="Arial"/>
        </w:rPr>
        <w:t>Section 189(1)(b):</w:t>
      </w:r>
      <w:r w:rsidRPr="00232C16">
        <w:rPr>
          <w:rFonts w:ascii="Arial" w:eastAsia="Times" w:hAnsi="Arial" w:cs="Arial"/>
        </w:rPr>
        <w:br/>
        <w:t>Extensive experience or knowledge in relation to Aboriginal cultural heritage management</w:t>
      </w:r>
    </w:p>
    <w:p w14:paraId="1C500593" w14:textId="64DB8990"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Alternatively, a person may be engaged as a Heritage Advisor if they have extensive experience or knowledge in managing Aboriginal cultural heritage. This is intended to include Aboriginal people with extensive cultural expertise and experience, who do not have the formal qualifications described at</w:t>
      </w:r>
      <w:r w:rsidR="006823A8" w:rsidRPr="00232C16">
        <w:rPr>
          <w:rFonts w:ascii="Arial" w:eastAsia="Times" w:hAnsi="Arial" w:cs="Arial"/>
          <w:color w:val="000000" w:themeColor="text1"/>
        </w:rPr>
        <w:t xml:space="preserve"> point 1 above</w:t>
      </w:r>
      <w:r w:rsidRPr="00232C16">
        <w:rPr>
          <w:rFonts w:ascii="Arial" w:eastAsia="Times" w:hAnsi="Arial" w:cs="Arial"/>
          <w:color w:val="000000" w:themeColor="text1"/>
        </w:rPr>
        <w:t>.</w:t>
      </w:r>
    </w:p>
    <w:p w14:paraId="44F29E9C" w14:textId="77777777" w:rsidR="00A0300C" w:rsidRPr="00A075F8" w:rsidRDefault="00A0300C" w:rsidP="004E24C3">
      <w:pPr>
        <w:pStyle w:val="Heading4"/>
        <w:rPr>
          <w:rFonts w:ascii="Arial" w:eastAsia="Times" w:hAnsi="Arial" w:cs="Arial"/>
          <w:b w:val="0"/>
          <w:bCs/>
          <w:i w:val="0"/>
          <w:iCs w:val="0"/>
        </w:rPr>
      </w:pPr>
      <w:r w:rsidRPr="00A075F8">
        <w:rPr>
          <w:rFonts w:ascii="Arial" w:eastAsia="Times" w:hAnsi="Arial" w:cs="Arial"/>
          <w:b w:val="0"/>
          <w:bCs/>
          <w:i w:val="0"/>
          <w:iCs w:val="0"/>
        </w:rPr>
        <w:t xml:space="preserve">Extensive experience or knowledge </w:t>
      </w:r>
    </w:p>
    <w:p w14:paraId="2ABBA815" w14:textId="2F77CA0B"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The following factors </w:t>
      </w:r>
      <w:r w:rsidR="00C1036B" w:rsidRPr="00232C16">
        <w:rPr>
          <w:rFonts w:ascii="Arial" w:eastAsia="Times" w:hAnsi="Arial" w:cs="Arial"/>
          <w:color w:val="000000" w:themeColor="text1"/>
        </w:rPr>
        <w:t>demonstrate ‘extensive experience or knowledge’</w:t>
      </w:r>
      <w:r w:rsidRPr="00232C16">
        <w:rPr>
          <w:rFonts w:ascii="Arial" w:eastAsia="Times" w:hAnsi="Arial" w:cs="Arial"/>
          <w:color w:val="000000" w:themeColor="text1"/>
        </w:rPr>
        <w:t>:</w:t>
      </w:r>
    </w:p>
    <w:p w14:paraId="7C2BE632" w14:textId="0E6FE786" w:rsidR="00A0300C" w:rsidRPr="00232C16" w:rsidRDefault="00A0300C" w:rsidP="0070543A">
      <w:pPr>
        <w:pStyle w:val="ListParagraph"/>
        <w:numPr>
          <w:ilvl w:val="0"/>
          <w:numId w:val="13"/>
        </w:numPr>
        <w:spacing w:line="300" w:lineRule="atLeast"/>
        <w:rPr>
          <w:rFonts w:ascii="Arial" w:eastAsia="Times" w:hAnsi="Arial"/>
          <w:color w:val="000000" w:themeColor="text1"/>
        </w:rPr>
      </w:pPr>
      <w:r w:rsidRPr="00232C16">
        <w:rPr>
          <w:rFonts w:ascii="Arial" w:eastAsia="Times" w:hAnsi="Arial"/>
          <w:color w:val="000000" w:themeColor="text1"/>
        </w:rPr>
        <w:t>Extensive cultural knowledge gained through cultural transmission as well as life experience as a member of a Traditional Owner community, or through extended association with a Traditional Owner community; and</w:t>
      </w:r>
    </w:p>
    <w:p w14:paraId="7E525AC9" w14:textId="4E0BE94B" w:rsidR="00A0300C" w:rsidRPr="00232C16" w:rsidRDefault="00A0300C" w:rsidP="0070543A">
      <w:pPr>
        <w:pStyle w:val="ListParagraph"/>
        <w:numPr>
          <w:ilvl w:val="0"/>
          <w:numId w:val="13"/>
        </w:numPr>
        <w:spacing w:line="300" w:lineRule="atLeast"/>
        <w:ind w:hanging="357"/>
        <w:rPr>
          <w:rFonts w:ascii="Arial" w:eastAsia="Times" w:hAnsi="Arial"/>
          <w:color w:val="000000" w:themeColor="text1"/>
        </w:rPr>
      </w:pPr>
      <w:r w:rsidRPr="00232C16">
        <w:rPr>
          <w:rFonts w:ascii="Arial" w:eastAsia="Times" w:hAnsi="Arial"/>
          <w:color w:val="000000" w:themeColor="text1"/>
        </w:rPr>
        <w:t>At least three year’s past or present employment with a Registered Aboriginal Party or similar Aboriginal organisation, assisting with cultural heritage assessments, surveys and/or excavations and the evaluation of cultural heritage management plans under the Act, or similar processes in another jurisdiction; and</w:t>
      </w:r>
    </w:p>
    <w:p w14:paraId="3871C6A8" w14:textId="5523D049" w:rsidR="00A0300C" w:rsidRPr="00232C16" w:rsidRDefault="00A0300C" w:rsidP="0070543A">
      <w:pPr>
        <w:pStyle w:val="ListParagraph"/>
        <w:numPr>
          <w:ilvl w:val="0"/>
          <w:numId w:val="13"/>
        </w:numPr>
        <w:spacing w:line="300" w:lineRule="atLeast"/>
        <w:ind w:hanging="357"/>
        <w:rPr>
          <w:rFonts w:ascii="Arial" w:eastAsia="Times" w:hAnsi="Arial"/>
        </w:rPr>
      </w:pPr>
      <w:r w:rsidRPr="00232C16">
        <w:rPr>
          <w:rFonts w:ascii="Arial" w:eastAsia="Times" w:hAnsi="Arial"/>
          <w:color w:val="000000" w:themeColor="text1"/>
        </w:rPr>
        <w:t>Experience preparing written material relevant to the management of Aboriginal cultural heritage, such as survey reports and contributions to cultural heritage management plans.</w:t>
      </w:r>
    </w:p>
    <w:p w14:paraId="7FDEFBC3" w14:textId="310E4DD6"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lastRenderedPageBreak/>
        <w:t>In addition, such Heritage Advisors are encouraged to undertake coursework or studies relevant to Aboriginal cultural heritage management. This could include completing the Certificate IV in Aboriginal Cultural Heritage Management.</w:t>
      </w:r>
      <w:bookmarkEnd w:id="0"/>
    </w:p>
    <w:p w14:paraId="286D54CA" w14:textId="5FA80833" w:rsidR="00A0300C" w:rsidRPr="00232C16" w:rsidRDefault="00A0300C" w:rsidP="004E24C3">
      <w:pPr>
        <w:pStyle w:val="Heading2"/>
        <w:keepNext/>
        <w:rPr>
          <w:rFonts w:ascii="Arial" w:hAnsi="Arial"/>
        </w:rPr>
      </w:pPr>
      <w:r w:rsidRPr="00232C16">
        <w:rPr>
          <w:rFonts w:ascii="Arial" w:hAnsi="Arial"/>
        </w:rPr>
        <w:t>Heritage Advisor access to the Register</w:t>
      </w:r>
    </w:p>
    <w:p w14:paraId="055A810F" w14:textId="4A820365"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When a person applies for access to the Register</w:t>
      </w:r>
      <w:r w:rsidR="00D50FC1" w:rsidRPr="00232C16">
        <w:rPr>
          <w:rFonts w:ascii="Arial" w:eastAsia="Times" w:hAnsi="Arial" w:cs="Arial"/>
          <w:color w:val="000000" w:themeColor="text1"/>
        </w:rPr>
        <w:t xml:space="preserve"> as a Heritage Advisor</w:t>
      </w:r>
      <w:r w:rsidRPr="00232C16">
        <w:rPr>
          <w:rFonts w:ascii="Arial" w:eastAsia="Times" w:hAnsi="Arial" w:cs="Arial"/>
          <w:color w:val="000000" w:themeColor="text1"/>
        </w:rPr>
        <w:t xml:space="preserve">, the Secretary (or their delegate) may request that the person demonstrate how they meet these Guidelines. This is to ensure that the Secretary is satisfied that the person is a Heritage Advisor before allowing access to the Register. </w:t>
      </w:r>
    </w:p>
    <w:p w14:paraId="7C15CE59" w14:textId="77777777"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New applicants must provide relevant academic transcripts and two written references that support their claims to experience. Written references must be from either:</w:t>
      </w:r>
    </w:p>
    <w:p w14:paraId="6B9A2B7C" w14:textId="59F88971" w:rsidR="00A0300C" w:rsidRPr="00232C16" w:rsidRDefault="00A0300C" w:rsidP="00A0300C">
      <w:pPr>
        <w:numPr>
          <w:ilvl w:val="0"/>
          <w:numId w:val="7"/>
        </w:numPr>
        <w:spacing w:line="300" w:lineRule="atLeast"/>
        <w:rPr>
          <w:rFonts w:ascii="Arial" w:eastAsia="Times" w:hAnsi="Arial" w:cs="Arial"/>
          <w:color w:val="000000" w:themeColor="text1"/>
        </w:rPr>
      </w:pPr>
      <w:r w:rsidRPr="00232C16">
        <w:rPr>
          <w:rFonts w:ascii="Arial" w:eastAsia="Times" w:hAnsi="Arial" w:cs="Arial"/>
          <w:color w:val="000000" w:themeColor="text1"/>
        </w:rPr>
        <w:t>a Registered Aboriginal Party (from the CEO or a senior employee),</w:t>
      </w:r>
      <w:r w:rsidR="00C266BE" w:rsidRPr="00232C16">
        <w:rPr>
          <w:rFonts w:ascii="Arial" w:eastAsia="Times" w:hAnsi="Arial" w:cs="Arial"/>
          <w:color w:val="000000" w:themeColor="text1"/>
        </w:rPr>
        <w:t xml:space="preserve"> </w:t>
      </w:r>
      <w:r w:rsidRPr="00232C16">
        <w:rPr>
          <w:rFonts w:ascii="Arial" w:eastAsia="Times" w:hAnsi="Arial" w:cs="Arial"/>
          <w:color w:val="000000" w:themeColor="text1"/>
        </w:rPr>
        <w:t>and/or</w:t>
      </w:r>
    </w:p>
    <w:p w14:paraId="14831754" w14:textId="77777777" w:rsidR="00A0300C" w:rsidRPr="00232C16" w:rsidRDefault="00A0300C" w:rsidP="00A0300C">
      <w:pPr>
        <w:numPr>
          <w:ilvl w:val="0"/>
          <w:numId w:val="7"/>
        </w:numPr>
        <w:spacing w:line="300" w:lineRule="atLeast"/>
        <w:rPr>
          <w:rFonts w:ascii="Arial" w:eastAsia="Times" w:hAnsi="Arial" w:cs="Arial"/>
          <w:color w:val="000000" w:themeColor="text1"/>
        </w:rPr>
      </w:pPr>
      <w:r w:rsidRPr="00232C16">
        <w:rPr>
          <w:rFonts w:ascii="Arial" w:eastAsia="Times" w:hAnsi="Arial" w:cs="Arial"/>
          <w:color w:val="000000" w:themeColor="text1"/>
        </w:rPr>
        <w:t>a Heritage Advisor who has already met the Guidelines.</w:t>
      </w:r>
    </w:p>
    <w:p w14:paraId="0422BEEC" w14:textId="4547814B"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If a person’s experience is in another Australian state or </w:t>
      </w:r>
      <w:r w:rsidR="00F548A2" w:rsidRPr="00232C16">
        <w:rPr>
          <w:rFonts w:ascii="Arial" w:eastAsia="Times" w:hAnsi="Arial" w:cs="Arial"/>
          <w:color w:val="000000" w:themeColor="text1"/>
        </w:rPr>
        <w:t>territory</w:t>
      </w:r>
      <w:r w:rsidR="00FE4A2B" w:rsidRPr="00232C16">
        <w:rPr>
          <w:rFonts w:ascii="Arial" w:eastAsia="Times" w:hAnsi="Arial" w:cs="Arial"/>
          <w:color w:val="000000" w:themeColor="text1"/>
        </w:rPr>
        <w:t xml:space="preserve"> in south-eastern Australia</w:t>
      </w:r>
      <w:r w:rsidRPr="00232C16">
        <w:rPr>
          <w:rFonts w:ascii="Arial" w:eastAsia="Times" w:hAnsi="Arial" w:cs="Arial"/>
          <w:color w:val="000000" w:themeColor="text1"/>
        </w:rPr>
        <w:t>, written references may be accepted from equivalent types of referees with similar experience in cultural heritage management in those jurisdictions.</w:t>
      </w:r>
    </w:p>
    <w:p w14:paraId="44030933" w14:textId="77777777" w:rsidR="00A0300C" w:rsidRPr="00232C16" w:rsidRDefault="00A0300C" w:rsidP="00A0300C">
      <w:pPr>
        <w:spacing w:line="300" w:lineRule="atLeast"/>
        <w:rPr>
          <w:rFonts w:ascii="Arial" w:eastAsia="Times" w:hAnsi="Arial" w:cs="Arial"/>
          <w:color w:val="000000" w:themeColor="text1"/>
          <w:sz w:val="28"/>
          <w:szCs w:val="28"/>
        </w:rPr>
      </w:pPr>
      <w:r w:rsidRPr="00232C16">
        <w:rPr>
          <w:rFonts w:ascii="Arial" w:eastAsia="Times" w:hAnsi="Arial" w:cs="Arial"/>
          <w:color w:val="000000" w:themeColor="text1"/>
          <w:sz w:val="28"/>
          <w:szCs w:val="28"/>
        </w:rPr>
        <w:t>Transitional period for existing Heritage Advisors</w:t>
      </w:r>
    </w:p>
    <w:p w14:paraId="4384BC79" w14:textId="77777777"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Existing Heritage Advisors who have met the criteria in the previous Guidelines are anticipated in most instances to be able to already meet these Guidelines. There may be some instances where a Heritage Advisor may need to obtain the further necessary experience set out in these Guidelines. </w:t>
      </w:r>
    </w:p>
    <w:p w14:paraId="563F4AB8" w14:textId="350ED5A5"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There will be a six-month transitional period ending on </w:t>
      </w:r>
      <w:r w:rsidR="00E429E3">
        <w:rPr>
          <w:rFonts w:ascii="Arial" w:eastAsia="Times" w:hAnsi="Arial" w:cs="Arial"/>
          <w:b/>
          <w:bCs/>
          <w:color w:val="000000" w:themeColor="text1"/>
        </w:rPr>
        <w:t>22 September 2024</w:t>
      </w:r>
      <w:r w:rsidRPr="00232C16">
        <w:rPr>
          <w:rFonts w:ascii="Arial" w:eastAsia="Times" w:hAnsi="Arial" w:cs="Arial"/>
          <w:color w:val="000000" w:themeColor="text1"/>
        </w:rPr>
        <w:t xml:space="preserve"> during which </w:t>
      </w:r>
      <w:r w:rsidR="00B66EC0" w:rsidRPr="00232C16">
        <w:rPr>
          <w:rFonts w:ascii="Arial" w:eastAsia="Times" w:hAnsi="Arial" w:cs="Arial"/>
          <w:color w:val="000000" w:themeColor="text1"/>
        </w:rPr>
        <w:t xml:space="preserve">time </w:t>
      </w:r>
      <w:r w:rsidRPr="00232C16">
        <w:rPr>
          <w:rFonts w:ascii="Arial" w:eastAsia="Times" w:hAnsi="Arial" w:cs="Arial"/>
          <w:color w:val="000000" w:themeColor="text1"/>
        </w:rPr>
        <w:t>existing Heritage Advisors retain their existing access to the Register and retain their listing, if any, on the voluntary Heritage Advisor List. Existing Heritage Advisors who have had less than two years of active access to the Register (when they reapply) need to provide two written references that support their claims to experience, as above. Existing Heritage Advisors with more than two years of active access to the Register will not need to provide written references to support their claims to experience.</w:t>
      </w:r>
    </w:p>
    <w:p w14:paraId="1F73A9C9" w14:textId="00F315EA" w:rsidR="00A0300C" w:rsidRPr="00232C16" w:rsidRDefault="00A0300C" w:rsidP="006678F5">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These Guidelines otherwise apply to new prospective Heritage Advisors from </w:t>
      </w:r>
      <w:r w:rsidR="00E429E3">
        <w:rPr>
          <w:rFonts w:ascii="Arial" w:eastAsia="Times" w:hAnsi="Arial" w:cs="Arial"/>
          <w:b/>
          <w:bCs/>
          <w:color w:val="000000" w:themeColor="text1"/>
        </w:rPr>
        <w:t>22 March 2024</w:t>
      </w:r>
      <w:r w:rsidR="009D3076" w:rsidRPr="00232C16">
        <w:rPr>
          <w:rFonts w:ascii="Arial" w:eastAsia="Times" w:hAnsi="Arial" w:cs="Arial"/>
          <w:b/>
          <w:bCs/>
          <w:color w:val="000000" w:themeColor="text1"/>
        </w:rPr>
        <w:t xml:space="preserve"> </w:t>
      </w:r>
      <w:r w:rsidR="009D3076" w:rsidRPr="00232C16">
        <w:rPr>
          <w:rFonts w:ascii="Arial" w:eastAsia="Times" w:hAnsi="Arial" w:cs="Arial"/>
          <w:color w:val="000000" w:themeColor="text1"/>
        </w:rPr>
        <w:t>onwards</w:t>
      </w:r>
      <w:r w:rsidRPr="00232C16">
        <w:rPr>
          <w:rFonts w:ascii="Arial" w:eastAsia="Times" w:hAnsi="Arial" w:cs="Arial"/>
          <w:color w:val="000000" w:themeColor="text1"/>
        </w:rPr>
        <w:t>.</w:t>
      </w:r>
    </w:p>
    <w:p w14:paraId="33453A7E" w14:textId="77777777" w:rsidR="00A0300C" w:rsidRPr="00232C16" w:rsidRDefault="00A0300C" w:rsidP="004E24C3">
      <w:pPr>
        <w:pStyle w:val="Heading2"/>
        <w:rPr>
          <w:rFonts w:ascii="Arial" w:hAnsi="Arial"/>
        </w:rPr>
      </w:pPr>
      <w:r w:rsidRPr="00232C16">
        <w:rPr>
          <w:rFonts w:ascii="Arial" w:hAnsi="Arial"/>
        </w:rPr>
        <w:t>Heritage Advisor List</w:t>
      </w:r>
    </w:p>
    <w:p w14:paraId="01E1CFA4" w14:textId="3A01B6B1"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The Registrar may maintain a voluntary list of Heritage Advisors</w:t>
      </w:r>
      <w:r w:rsidR="00F13BAC" w:rsidRPr="00232C16">
        <w:rPr>
          <w:rFonts w:ascii="Arial" w:eastAsia="Times" w:hAnsi="Arial" w:cs="Arial"/>
          <w:color w:val="000000" w:themeColor="text1"/>
        </w:rPr>
        <w:t>,</w:t>
      </w:r>
      <w:r w:rsidRPr="00232C16">
        <w:rPr>
          <w:rFonts w:ascii="Arial" w:eastAsia="Times" w:hAnsi="Arial" w:cs="Arial"/>
          <w:color w:val="000000" w:themeColor="text1"/>
        </w:rPr>
        <w:t xml:space="preserve"> which is publicly accessible on the </w:t>
      </w:r>
      <w:r w:rsidR="00BB5408" w:rsidRPr="00232C16">
        <w:rPr>
          <w:rFonts w:ascii="Arial" w:eastAsia="Times" w:hAnsi="Arial" w:cs="Arial"/>
          <w:color w:val="000000" w:themeColor="text1"/>
        </w:rPr>
        <w:t xml:space="preserve">website of the Department of Premier and Cabinet (the Department). </w:t>
      </w:r>
      <w:r w:rsidRPr="00232C16">
        <w:rPr>
          <w:rFonts w:ascii="Arial" w:eastAsia="Times" w:hAnsi="Arial" w:cs="Arial"/>
          <w:color w:val="000000" w:themeColor="text1"/>
        </w:rPr>
        <w:t xml:space="preserve">The Heritage Advisor List is designed to assist persons or companies who wish to engage a Heritage Advisor, such as project sponsors. </w:t>
      </w:r>
      <w:r w:rsidR="00577BD2" w:rsidRPr="00232C16">
        <w:rPr>
          <w:rFonts w:ascii="Arial" w:eastAsia="Times" w:hAnsi="Arial" w:cs="Arial"/>
          <w:color w:val="000000" w:themeColor="text1"/>
        </w:rPr>
        <w:t>I</w:t>
      </w:r>
      <w:r w:rsidRPr="00232C16">
        <w:rPr>
          <w:rFonts w:ascii="Arial" w:eastAsia="Times" w:hAnsi="Arial" w:cs="Arial"/>
          <w:color w:val="000000" w:themeColor="text1"/>
        </w:rPr>
        <w:t xml:space="preserve">nclusion on the list does not imply a Heritage Advisor is approved or endorsed by </w:t>
      </w:r>
      <w:r w:rsidR="00283D0C" w:rsidRPr="00232C16">
        <w:rPr>
          <w:rFonts w:ascii="Arial" w:eastAsia="Times" w:hAnsi="Arial" w:cs="Arial"/>
          <w:color w:val="000000" w:themeColor="text1"/>
        </w:rPr>
        <w:t>the Department</w:t>
      </w:r>
      <w:r w:rsidRPr="00232C16">
        <w:rPr>
          <w:rFonts w:ascii="Arial" w:eastAsia="Times" w:hAnsi="Arial" w:cs="Arial"/>
          <w:color w:val="000000" w:themeColor="text1"/>
        </w:rPr>
        <w:t xml:space="preserve">. </w:t>
      </w:r>
    </w:p>
    <w:p w14:paraId="4EE76E37" w14:textId="77718BD4" w:rsidR="00A0300C" w:rsidRPr="00232C16" w:rsidRDefault="00A0300C" w:rsidP="00A0300C">
      <w:pPr>
        <w:spacing w:line="300" w:lineRule="atLeast"/>
        <w:rPr>
          <w:rFonts w:ascii="Arial" w:eastAsia="Times" w:hAnsi="Arial" w:cs="Arial"/>
          <w:color w:val="000000" w:themeColor="text1"/>
        </w:rPr>
      </w:pPr>
      <w:r w:rsidRPr="00232C16">
        <w:rPr>
          <w:rFonts w:ascii="Arial" w:eastAsia="Times" w:hAnsi="Arial" w:cs="Arial"/>
          <w:color w:val="000000" w:themeColor="text1"/>
        </w:rPr>
        <w:t xml:space="preserve">All persons on the Heritage Advisor List will be persons </w:t>
      </w:r>
      <w:r w:rsidR="008C4BD1" w:rsidRPr="00232C16">
        <w:rPr>
          <w:rFonts w:ascii="Arial" w:eastAsia="Times" w:hAnsi="Arial" w:cs="Arial"/>
          <w:color w:val="000000" w:themeColor="text1"/>
        </w:rPr>
        <w:t>who</w:t>
      </w:r>
      <w:r w:rsidRPr="00232C16">
        <w:rPr>
          <w:rFonts w:ascii="Arial" w:eastAsia="Times" w:hAnsi="Arial" w:cs="Arial"/>
          <w:color w:val="000000" w:themeColor="text1"/>
        </w:rPr>
        <w:t xml:space="preserve"> have demonstrated that they meet the Guidelines. They </w:t>
      </w:r>
      <w:r w:rsidR="003A4B19" w:rsidRPr="00232C16">
        <w:rPr>
          <w:rFonts w:ascii="Arial" w:eastAsia="Times" w:hAnsi="Arial" w:cs="Arial"/>
          <w:color w:val="000000" w:themeColor="text1"/>
        </w:rPr>
        <w:t>must also</w:t>
      </w:r>
      <w:r w:rsidRPr="00232C16">
        <w:rPr>
          <w:rFonts w:ascii="Arial" w:eastAsia="Times" w:hAnsi="Arial" w:cs="Arial"/>
          <w:color w:val="000000" w:themeColor="text1"/>
        </w:rPr>
        <w:t xml:space="preserve"> agree to </w:t>
      </w:r>
      <w:r w:rsidR="003A4B19" w:rsidRPr="00232C16">
        <w:rPr>
          <w:rFonts w:ascii="Arial" w:eastAsia="Times" w:hAnsi="Arial" w:cs="Arial"/>
          <w:color w:val="000000" w:themeColor="text1"/>
        </w:rPr>
        <w:t xml:space="preserve">abide by </w:t>
      </w:r>
      <w:r w:rsidRPr="00232C16">
        <w:rPr>
          <w:rFonts w:ascii="Arial" w:eastAsia="Times" w:hAnsi="Arial" w:cs="Arial"/>
          <w:color w:val="000000" w:themeColor="text1"/>
        </w:rPr>
        <w:t xml:space="preserve">the Code of Conduct for Heritage Advisors, as published on </w:t>
      </w:r>
      <w:r w:rsidR="00DE0781" w:rsidRPr="00232C16">
        <w:rPr>
          <w:rFonts w:ascii="Arial" w:eastAsia="Times" w:hAnsi="Arial" w:cs="Arial"/>
          <w:color w:val="000000" w:themeColor="text1"/>
        </w:rPr>
        <w:t>the Department’s</w:t>
      </w:r>
      <w:r w:rsidRPr="00232C16">
        <w:rPr>
          <w:rFonts w:ascii="Arial" w:eastAsia="Times" w:hAnsi="Arial" w:cs="Arial"/>
          <w:color w:val="000000" w:themeColor="text1"/>
        </w:rPr>
        <w:t xml:space="preserve"> website. Existing Heritage Advisors who wish to </w:t>
      </w:r>
      <w:r w:rsidRPr="00232C16">
        <w:rPr>
          <w:rFonts w:ascii="Arial" w:eastAsia="Times" w:hAnsi="Arial" w:cs="Arial"/>
          <w:color w:val="000000" w:themeColor="text1"/>
        </w:rPr>
        <w:lastRenderedPageBreak/>
        <w:t xml:space="preserve">retain their listing will need </w:t>
      </w:r>
      <w:r w:rsidR="007E2872" w:rsidRPr="00232C16">
        <w:rPr>
          <w:rFonts w:ascii="Arial" w:eastAsia="Times" w:hAnsi="Arial" w:cs="Arial"/>
          <w:color w:val="000000" w:themeColor="text1"/>
        </w:rPr>
        <w:t>to agree to abide by this code by the end of the six month transitional period.</w:t>
      </w:r>
    </w:p>
    <w:sectPr w:rsidR="00A0300C" w:rsidRPr="00232C16" w:rsidSect="004E24C3">
      <w:headerReference w:type="default" r:id="rId11"/>
      <w:footerReference w:type="default" r:id="rId12"/>
      <w:headerReference w:type="first" r:id="rId13"/>
      <w:footerReference w:type="first" r:id="rId14"/>
      <w:pgSz w:w="11906" w:h="16838" w:code="9"/>
      <w:pgMar w:top="1440" w:right="1440" w:bottom="1440" w:left="1440"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38D2" w14:textId="77777777" w:rsidR="003E6861" w:rsidRDefault="003E6861" w:rsidP="00A0300C">
      <w:pPr>
        <w:spacing w:after="0"/>
      </w:pPr>
      <w:r>
        <w:separator/>
      </w:r>
    </w:p>
  </w:endnote>
  <w:endnote w:type="continuationSeparator" w:id="0">
    <w:p w14:paraId="070A6BA1" w14:textId="77777777" w:rsidR="003E6861" w:rsidRDefault="003E6861" w:rsidP="00A0300C">
      <w:pPr>
        <w:spacing w:after="0"/>
      </w:pPr>
      <w:r>
        <w:continuationSeparator/>
      </w:r>
    </w:p>
  </w:endnote>
  <w:endnote w:type="continuationNotice" w:id="1">
    <w:p w14:paraId="7CA9D88B" w14:textId="77777777" w:rsidR="003E6861" w:rsidRDefault="003E68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C4B2" w14:textId="646B0687" w:rsidR="004B78BD" w:rsidRDefault="00867D6F" w:rsidP="00426ED8">
    <w:pPr>
      <w:pStyle w:val="Footer"/>
      <w:spacing w:after="0"/>
      <w:rPr>
        <w:noProof/>
      </w:rPr>
    </w:pPr>
    <w:r>
      <w:rPr>
        <w:rFonts w:eastAsia="Times New Roman" w:cs="Times New Roman"/>
        <w:b/>
        <w:noProof/>
        <w:color w:val="000000"/>
      </w:rPr>
      <mc:AlternateContent>
        <mc:Choice Requires="wps">
          <w:drawing>
            <wp:anchor distT="0" distB="0" distL="114300" distR="114300" simplePos="0" relativeHeight="251658242" behindDoc="0" locked="0" layoutInCell="0" allowOverlap="1" wp14:anchorId="3A3C22B1" wp14:editId="394A1C16">
              <wp:simplePos x="0" y="0"/>
              <wp:positionH relativeFrom="page">
                <wp:align>right</wp:align>
              </wp:positionH>
              <wp:positionV relativeFrom="page">
                <wp:posOffset>9677400</wp:posOffset>
              </wp:positionV>
              <wp:extent cx="6922135" cy="273050"/>
              <wp:effectExtent l="0" t="0" r="0" b="12700"/>
              <wp:wrapNone/>
              <wp:docPr id="13" name="Text Box 1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6922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836227" w14:textId="4683C297" w:rsidR="00DE0D4F" w:rsidRPr="00DE0D4F" w:rsidRDefault="00DE0D4F" w:rsidP="00867D6F">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3A3C22B1" id="_x0000_t202" coordsize="21600,21600" o:spt="202" path="m,l,21600r21600,l21600,xe">
              <v:stroke joinstyle="miter"/>
              <v:path gradientshapeok="t" o:connecttype="rect"/>
            </v:shapetype>
            <v:shape id="Text Box 13" o:spid="_x0000_s1026" type="#_x0000_t202" alt="{&quot;HashCode&quot;:-1267603503,&quot;Height&quot;:841.0,&quot;Width&quot;:595.0,&quot;Placement&quot;:&quot;Footer&quot;,&quot;Index&quot;:&quot;Primary&quot;,&quot;Section&quot;:1,&quot;Top&quot;:0.0,&quot;Left&quot;:0.0}" style="position:absolute;margin-left:493.85pt;margin-top:762pt;width:545.05pt;height:21.5pt;z-index:251658242;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" o:allowincell="f" filled="f" stroked="f" strokeweight=".5pt">
              <v:textbox inset="20pt,0,,0">
                <w:txbxContent>
                  <w:p w14:paraId="4D836227" w14:textId="4683C297" w:rsidR="00DE0D4F" w:rsidRPr="00DE0D4F" w:rsidRDefault="00DE0D4F" w:rsidP="00867D6F">
                    <w:pPr>
                      <w:spacing w:after="0"/>
                      <w:rPr>
                        <w:rFonts w:ascii="Calibri" w:hAnsi="Calibri" w:cs="Calibri"/>
                        <w:color w:val="000000"/>
                      </w:rPr>
                    </w:pPr>
                  </w:p>
                </w:txbxContent>
              </v:textbox>
              <w10:wrap anchorx="page" anchory="page"/>
            </v:shape>
          </w:pict>
        </mc:Fallback>
      </mc:AlternateContent>
    </w:r>
    <w:r w:rsidR="002D2CFC">
      <w:rPr>
        <w:noProof/>
      </w:rPr>
      <w:t>p</w:t>
    </w:r>
    <w:r w:rsidR="00420E8F">
      <w:rPr>
        <w:noProof/>
      </w:rPr>
      <w:t>age</w:t>
    </w:r>
    <w:r w:rsidR="002D2CFC">
      <w:rPr>
        <w:noProof/>
      </w:rPr>
      <w:t xml:space="preserve"> </w:t>
    </w:r>
    <w:r w:rsidR="004E24C3">
      <w:rPr>
        <w:noProof/>
      </w:rPr>
      <w:fldChar w:fldCharType="begin"/>
    </w:r>
    <w:r w:rsidR="004E24C3">
      <w:rPr>
        <w:noProof/>
      </w:rPr>
      <w:instrText xml:space="preserve"> PAGE   \* MERGEFORMAT </w:instrText>
    </w:r>
    <w:r w:rsidR="004E24C3">
      <w:rPr>
        <w:noProof/>
      </w:rPr>
      <w:fldChar w:fldCharType="separate"/>
    </w:r>
    <w:r w:rsidR="004E24C3">
      <w:rPr>
        <w:noProof/>
      </w:rPr>
      <w:t>1</w:t>
    </w:r>
    <w:r w:rsidR="004E24C3">
      <w:rPr>
        <w:noProof/>
      </w:rPr>
      <w:fldChar w:fldCharType="end"/>
    </w:r>
    <w:r w:rsidR="004E24C3">
      <w:rPr>
        <w:noProof/>
      </w:rPr>
      <w:drawing>
        <wp:anchor distT="0" distB="0" distL="114300" distR="114300" simplePos="0" relativeHeight="251666434" behindDoc="1" locked="0" layoutInCell="1" allowOverlap="1" wp14:anchorId="2630AAC6" wp14:editId="0F58E269">
          <wp:simplePos x="0" y="0"/>
          <wp:positionH relativeFrom="column">
            <wp:posOffset>4352925</wp:posOffset>
          </wp:positionH>
          <wp:positionV relativeFrom="paragraph">
            <wp:posOffset>-47625</wp:posOffset>
          </wp:positionV>
          <wp:extent cx="1866665" cy="360000"/>
          <wp:effectExtent l="0" t="0" r="0" b="0"/>
          <wp:wrapNone/>
          <wp:docPr id="40" name="Picture 4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6665" cy="360000"/>
                  </a:xfrm>
                  <a:prstGeom prst="rect">
                    <a:avLst/>
                  </a:prstGeom>
                </pic:spPr>
              </pic:pic>
            </a:graphicData>
          </a:graphic>
          <wp14:sizeRelH relativeFrom="page">
            <wp14:pctWidth>0</wp14:pctWidth>
          </wp14:sizeRelH>
          <wp14:sizeRelV relativeFrom="page">
            <wp14:pctHeight>0</wp14:pctHeight>
          </wp14:sizeRelV>
        </wp:anchor>
      </w:drawing>
    </w:r>
    <w:r w:rsidR="00DE0D4F">
      <w:rPr>
        <w:rFonts w:eastAsia="Times New Roman" w:cs="Times New Roman"/>
        <w:b/>
        <w:noProof/>
        <w:color w:val="000000"/>
      </w:rPr>
      <w:drawing>
        <wp:anchor distT="0" distB="0" distL="114300" distR="114300" simplePos="0" relativeHeight="251658241" behindDoc="1" locked="0" layoutInCell="1" allowOverlap="1" wp14:anchorId="69782517" wp14:editId="4133E19C">
          <wp:simplePos x="0" y="0"/>
          <wp:positionH relativeFrom="page">
            <wp:posOffset>146050</wp:posOffset>
          </wp:positionH>
          <wp:positionV relativeFrom="page">
            <wp:posOffset>10767695</wp:posOffset>
          </wp:positionV>
          <wp:extent cx="7555865" cy="10839450"/>
          <wp:effectExtent l="0" t="0" r="698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7555865" cy="108394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185E" w14:textId="4655E2C2" w:rsidR="00806725" w:rsidRDefault="004B78BD" w:rsidP="004B78BD">
    <w:pPr>
      <w:pStyle w:val="Footer"/>
    </w:pPr>
    <w:r>
      <w:rPr>
        <w:noProof/>
      </w:rPr>
      <w:drawing>
        <wp:anchor distT="0" distB="0" distL="114300" distR="114300" simplePos="0" relativeHeight="251664386" behindDoc="1" locked="0" layoutInCell="1" allowOverlap="1" wp14:anchorId="0C83A3E5" wp14:editId="5EDDA283">
          <wp:simplePos x="0" y="0"/>
          <wp:positionH relativeFrom="column">
            <wp:posOffset>4419600</wp:posOffset>
          </wp:positionH>
          <wp:positionV relativeFrom="paragraph">
            <wp:posOffset>-62230</wp:posOffset>
          </wp:positionV>
          <wp:extent cx="1866665" cy="360000"/>
          <wp:effectExtent l="0" t="0" r="0" b="0"/>
          <wp:wrapNone/>
          <wp:docPr id="42" name="Picture 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6665"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DEE2" w14:textId="77777777" w:rsidR="003E6861" w:rsidRDefault="003E6861" w:rsidP="00A0300C">
      <w:pPr>
        <w:spacing w:after="0"/>
      </w:pPr>
      <w:r>
        <w:separator/>
      </w:r>
    </w:p>
  </w:footnote>
  <w:footnote w:type="continuationSeparator" w:id="0">
    <w:p w14:paraId="6736507A" w14:textId="77777777" w:rsidR="003E6861" w:rsidRDefault="003E6861" w:rsidP="00A0300C">
      <w:pPr>
        <w:spacing w:after="0"/>
      </w:pPr>
      <w:r>
        <w:continuationSeparator/>
      </w:r>
    </w:p>
  </w:footnote>
  <w:footnote w:type="continuationNotice" w:id="1">
    <w:p w14:paraId="6B42111A" w14:textId="77777777" w:rsidR="003E6861" w:rsidRDefault="003E6861">
      <w:pPr>
        <w:spacing w:after="0"/>
      </w:pPr>
    </w:p>
  </w:footnote>
  <w:footnote w:id="2">
    <w:p w14:paraId="20106D13" w14:textId="1B270A3E" w:rsidR="00A0300C" w:rsidRDefault="00A0300C" w:rsidP="00A0300C">
      <w:pPr>
        <w:pStyle w:val="FootnoteText"/>
      </w:pPr>
      <w:r>
        <w:rPr>
          <w:rStyle w:val="FootnoteReference"/>
        </w:rPr>
        <w:footnoteRef/>
      </w:r>
      <w:r>
        <w:t xml:space="preserve"> </w:t>
      </w:r>
      <w:r w:rsidRPr="00232C16">
        <w:rPr>
          <w:rFonts w:ascii="Arial" w:hAnsi="Arial" w:cs="Arial"/>
        </w:rPr>
        <w:t xml:space="preserve">Heritage Advisors operating under the </w:t>
      </w:r>
      <w:r w:rsidR="0057284B" w:rsidRPr="00232C16">
        <w:rPr>
          <w:rFonts w:ascii="Arial" w:hAnsi="Arial" w:cs="Arial"/>
          <w:i/>
          <w:iCs/>
        </w:rPr>
        <w:t xml:space="preserve">Aboriginal Heritage </w:t>
      </w:r>
      <w:r w:rsidRPr="00232C16">
        <w:rPr>
          <w:rFonts w:ascii="Arial" w:hAnsi="Arial" w:cs="Arial"/>
          <w:i/>
          <w:iCs/>
        </w:rPr>
        <w:t xml:space="preserve">Act </w:t>
      </w:r>
      <w:r w:rsidR="0057284B" w:rsidRPr="00232C16">
        <w:rPr>
          <w:rFonts w:ascii="Arial" w:hAnsi="Arial" w:cs="Arial"/>
          <w:i/>
          <w:iCs/>
        </w:rPr>
        <w:t>2006</w:t>
      </w:r>
      <w:r w:rsidR="0057284B" w:rsidRPr="00232C16">
        <w:rPr>
          <w:rFonts w:ascii="Arial" w:hAnsi="Arial" w:cs="Arial"/>
        </w:rPr>
        <w:t xml:space="preserve"> </w:t>
      </w:r>
      <w:r w:rsidRPr="00232C16">
        <w:rPr>
          <w:rFonts w:ascii="Arial" w:hAnsi="Arial" w:cs="Arial"/>
        </w:rPr>
        <w:t xml:space="preserve">are not to be confused with persons who undertake advisory work in relation to the </w:t>
      </w:r>
      <w:r w:rsidRPr="00232C16">
        <w:rPr>
          <w:rFonts w:ascii="Arial" w:hAnsi="Arial" w:cs="Arial"/>
          <w:i/>
          <w:iCs/>
        </w:rPr>
        <w:t>Heritage Act 2017</w:t>
      </w:r>
      <w:r w:rsidRPr="00232C16">
        <w:rPr>
          <w:rFonts w:ascii="Arial" w:hAnsi="Arial" w:cs="Arial"/>
        </w:rPr>
        <w:t xml:space="preserve"> or the </w:t>
      </w:r>
      <w:r w:rsidRPr="00232C16">
        <w:rPr>
          <w:rFonts w:ascii="Arial" w:hAnsi="Arial" w:cs="Arial"/>
          <w:i/>
          <w:iCs/>
        </w:rPr>
        <w:t>Planning and Environment Act 1987</w:t>
      </w:r>
      <w:r w:rsidRPr="00232C16">
        <w:rPr>
          <w:rFonts w:ascii="Arial" w:hAnsi="Arial" w:cs="Arial"/>
        </w:rPr>
        <w:t>, who might also refer to themselves as Heritage Advisors.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D3D7" w14:textId="30F5C6B3" w:rsidR="004B78BD" w:rsidRDefault="004B78BD">
    <w:pPr>
      <w:pStyle w:val="Header"/>
    </w:pPr>
    <w:r>
      <w:rPr>
        <w:rFonts w:eastAsia="Times New Roman" w:cs="Times New Roman"/>
        <w:b/>
        <w:noProof/>
        <w:color w:val="000000"/>
      </w:rPr>
      <w:drawing>
        <wp:anchor distT="0" distB="0" distL="114300" distR="114300" simplePos="0" relativeHeight="251660290" behindDoc="1" locked="0" layoutInCell="1" allowOverlap="1" wp14:anchorId="5FD47C38" wp14:editId="41547408">
          <wp:simplePos x="0" y="0"/>
          <wp:positionH relativeFrom="page">
            <wp:align>left</wp:align>
          </wp:positionH>
          <wp:positionV relativeFrom="page">
            <wp:align>top</wp:align>
          </wp:positionV>
          <wp:extent cx="7555865" cy="977462"/>
          <wp:effectExtent l="0" t="0" r="698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
                    <a:extLst>
                      <a:ext uri="{28A0092B-C50C-407E-A947-70E740481C1C}">
                        <a14:useLocalDpi xmlns:a14="http://schemas.microsoft.com/office/drawing/2010/main" val="0"/>
                      </a:ext>
                    </a:extLst>
                  </a:blip>
                  <a:srcRect b="90864"/>
                  <a:stretch/>
                </pic:blipFill>
                <pic:spPr bwMode="auto">
                  <a:xfrm>
                    <a:off x="0" y="0"/>
                    <a:ext cx="7555865" cy="9774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9E0D" w14:textId="35C02170" w:rsidR="004E24C3" w:rsidRDefault="004E24C3">
    <w:pPr>
      <w:pStyle w:val="Header"/>
    </w:pPr>
    <w:r>
      <w:rPr>
        <w:rFonts w:eastAsia="Times New Roman" w:cs="Times New Roman"/>
        <w:b/>
        <w:noProof/>
        <w:color w:val="000000"/>
      </w:rPr>
      <w:drawing>
        <wp:anchor distT="0" distB="0" distL="114300" distR="114300" simplePos="0" relativeHeight="251668482" behindDoc="1" locked="0" layoutInCell="1" allowOverlap="1" wp14:anchorId="26CF9ABC" wp14:editId="508AAAE3">
          <wp:simplePos x="0" y="0"/>
          <wp:positionH relativeFrom="page">
            <wp:align>right</wp:align>
          </wp:positionH>
          <wp:positionV relativeFrom="page">
            <wp:posOffset>20955</wp:posOffset>
          </wp:positionV>
          <wp:extent cx="7555865" cy="977462"/>
          <wp:effectExtent l="0" t="0" r="698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
                    <a:extLst>
                      <a:ext uri="{28A0092B-C50C-407E-A947-70E740481C1C}">
                        <a14:useLocalDpi xmlns:a14="http://schemas.microsoft.com/office/drawing/2010/main" val="0"/>
                      </a:ext>
                    </a:extLst>
                  </a:blip>
                  <a:srcRect b="90864"/>
                  <a:stretch/>
                </pic:blipFill>
                <pic:spPr bwMode="auto">
                  <a:xfrm>
                    <a:off x="0" y="0"/>
                    <a:ext cx="7555865" cy="9774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34"/>
    <w:multiLevelType w:val="hybridMultilevel"/>
    <w:tmpl w:val="F9B2D45E"/>
    <w:lvl w:ilvl="0" w:tplc="70B2CD7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A57790"/>
    <w:multiLevelType w:val="multilevel"/>
    <w:tmpl w:val="9F1A2C6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A54E36"/>
    <w:multiLevelType w:val="hybridMultilevel"/>
    <w:tmpl w:val="C34CAF1E"/>
    <w:lvl w:ilvl="0" w:tplc="98D01022">
      <w:start w:val="1"/>
      <w:numFmt w:val="decimal"/>
      <w:pStyle w:val="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3919C2"/>
    <w:multiLevelType w:val="multilevel"/>
    <w:tmpl w:val="C8342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3350D"/>
    <w:multiLevelType w:val="hybridMultilevel"/>
    <w:tmpl w:val="F984098C"/>
    <w:lvl w:ilvl="0" w:tplc="9D7C043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A41F6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0109B9"/>
    <w:multiLevelType w:val="multilevel"/>
    <w:tmpl w:val="C8342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A34ABB"/>
    <w:multiLevelType w:val="hybridMultilevel"/>
    <w:tmpl w:val="FEA6BFC6"/>
    <w:lvl w:ilvl="0" w:tplc="6E38F9F0">
      <w:start w:val="1"/>
      <w:numFmt w:val="lowerRoman"/>
      <w:lvlText w:val="(%1)"/>
      <w:lvlJc w:val="left"/>
      <w:pPr>
        <w:ind w:left="1512" w:hanging="72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8" w15:restartNumberingAfterBreak="0">
    <w:nsid w:val="2FFD36DA"/>
    <w:multiLevelType w:val="hybridMultilevel"/>
    <w:tmpl w:val="FEA6BFC6"/>
    <w:lvl w:ilvl="0" w:tplc="6E38F9F0">
      <w:start w:val="1"/>
      <w:numFmt w:val="lowerRoman"/>
      <w:lvlText w:val="(%1)"/>
      <w:lvlJc w:val="left"/>
      <w:pPr>
        <w:ind w:left="1512" w:hanging="72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9" w15:restartNumberingAfterBreak="0">
    <w:nsid w:val="348B741D"/>
    <w:multiLevelType w:val="multilevel"/>
    <w:tmpl w:val="9F1A2C6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421A52"/>
    <w:multiLevelType w:val="hybridMultilevel"/>
    <w:tmpl w:val="F6362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43105E"/>
    <w:multiLevelType w:val="multilevel"/>
    <w:tmpl w:val="9F1A2C6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2566B8"/>
    <w:multiLevelType w:val="hybridMultilevel"/>
    <w:tmpl w:val="F9E46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E00EF5"/>
    <w:multiLevelType w:val="hybridMultilevel"/>
    <w:tmpl w:val="9E9EC36A"/>
    <w:lvl w:ilvl="0" w:tplc="C9EA8C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591855"/>
    <w:multiLevelType w:val="multilevel"/>
    <w:tmpl w:val="202E0B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B82103"/>
    <w:multiLevelType w:val="hybridMultilevel"/>
    <w:tmpl w:val="4F32B5F8"/>
    <w:lvl w:ilvl="0" w:tplc="8D1AC49C">
      <w:start w:val="1"/>
      <w:numFmt w:val="lowerLetter"/>
      <w:pStyle w:val="TableAlphaBullet"/>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E0D5A8D"/>
    <w:multiLevelType w:val="multilevel"/>
    <w:tmpl w:val="33B2B26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D7F78B3"/>
    <w:multiLevelType w:val="hybridMultilevel"/>
    <w:tmpl w:val="6DB89D64"/>
    <w:lvl w:ilvl="0" w:tplc="C68EAF1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322E02"/>
    <w:multiLevelType w:val="hybridMultilevel"/>
    <w:tmpl w:val="5EA08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B44492"/>
    <w:multiLevelType w:val="hybridMultilevel"/>
    <w:tmpl w:val="C78CFFBC"/>
    <w:lvl w:ilvl="0" w:tplc="69569E5C">
      <w:start w:val="1"/>
      <w:numFmt w:val="lowerLetter"/>
      <w:pStyle w:val="Alphabullet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BA00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0865731">
    <w:abstractNumId w:val="18"/>
  </w:num>
  <w:num w:numId="2" w16cid:durableId="1274246234">
    <w:abstractNumId w:val="5"/>
  </w:num>
  <w:num w:numId="3" w16cid:durableId="1941373356">
    <w:abstractNumId w:val="20"/>
  </w:num>
  <w:num w:numId="4" w16cid:durableId="1693532793">
    <w:abstractNumId w:val="0"/>
  </w:num>
  <w:num w:numId="5" w16cid:durableId="1536234486">
    <w:abstractNumId w:val="7"/>
  </w:num>
  <w:num w:numId="6" w16cid:durableId="111438475">
    <w:abstractNumId w:val="8"/>
  </w:num>
  <w:num w:numId="7" w16cid:durableId="492989543">
    <w:abstractNumId w:val="12"/>
  </w:num>
  <w:num w:numId="8" w16cid:durableId="1572352462">
    <w:abstractNumId w:val="14"/>
  </w:num>
  <w:num w:numId="9" w16cid:durableId="1405176242">
    <w:abstractNumId w:val="3"/>
  </w:num>
  <w:num w:numId="10" w16cid:durableId="1065838297">
    <w:abstractNumId w:val="9"/>
  </w:num>
  <w:num w:numId="11" w16cid:durableId="822814405">
    <w:abstractNumId w:val="1"/>
  </w:num>
  <w:num w:numId="12" w16cid:durableId="587810249">
    <w:abstractNumId w:val="11"/>
  </w:num>
  <w:num w:numId="13" w16cid:durableId="690840731">
    <w:abstractNumId w:val="6"/>
  </w:num>
  <w:num w:numId="14" w16cid:durableId="1975089556">
    <w:abstractNumId w:val="16"/>
  </w:num>
  <w:num w:numId="15" w16cid:durableId="1879203030">
    <w:abstractNumId w:val="13"/>
  </w:num>
  <w:num w:numId="16" w16cid:durableId="1344088591">
    <w:abstractNumId w:val="10"/>
  </w:num>
  <w:num w:numId="17" w16cid:durableId="855389349">
    <w:abstractNumId w:val="19"/>
  </w:num>
  <w:num w:numId="18" w16cid:durableId="1771966399">
    <w:abstractNumId w:val="19"/>
    <w:lvlOverride w:ilvl="0">
      <w:startOverride w:val="1"/>
    </w:lvlOverride>
  </w:num>
  <w:num w:numId="19" w16cid:durableId="1963995306">
    <w:abstractNumId w:val="19"/>
    <w:lvlOverride w:ilvl="0">
      <w:startOverride w:val="1"/>
    </w:lvlOverride>
  </w:num>
  <w:num w:numId="20" w16cid:durableId="1563442926">
    <w:abstractNumId w:val="2"/>
  </w:num>
  <w:num w:numId="21" w16cid:durableId="1565721544">
    <w:abstractNumId w:val="19"/>
    <w:lvlOverride w:ilvl="0">
      <w:startOverride w:val="1"/>
    </w:lvlOverride>
  </w:num>
  <w:num w:numId="22" w16cid:durableId="902105599">
    <w:abstractNumId w:val="19"/>
    <w:lvlOverride w:ilvl="0">
      <w:startOverride w:val="1"/>
    </w:lvlOverride>
  </w:num>
  <w:num w:numId="23" w16cid:durableId="755127196">
    <w:abstractNumId w:val="19"/>
    <w:lvlOverride w:ilvl="0">
      <w:startOverride w:val="1"/>
    </w:lvlOverride>
  </w:num>
  <w:num w:numId="24" w16cid:durableId="1487934944">
    <w:abstractNumId w:val="19"/>
    <w:lvlOverride w:ilvl="0">
      <w:startOverride w:val="1"/>
    </w:lvlOverride>
  </w:num>
  <w:num w:numId="25" w16cid:durableId="480540384">
    <w:abstractNumId w:val="2"/>
    <w:lvlOverride w:ilvl="0">
      <w:startOverride w:val="1"/>
    </w:lvlOverride>
  </w:num>
  <w:num w:numId="26" w16cid:durableId="2128698306">
    <w:abstractNumId w:val="19"/>
    <w:lvlOverride w:ilvl="0">
      <w:startOverride w:val="1"/>
    </w:lvlOverride>
  </w:num>
  <w:num w:numId="27" w16cid:durableId="997346694">
    <w:abstractNumId w:val="19"/>
    <w:lvlOverride w:ilvl="0">
      <w:startOverride w:val="1"/>
    </w:lvlOverride>
  </w:num>
  <w:num w:numId="28" w16cid:durableId="2080133527">
    <w:abstractNumId w:val="19"/>
    <w:lvlOverride w:ilvl="0">
      <w:startOverride w:val="1"/>
    </w:lvlOverride>
  </w:num>
  <w:num w:numId="29" w16cid:durableId="2055738162">
    <w:abstractNumId w:val="15"/>
  </w:num>
  <w:num w:numId="30" w16cid:durableId="1715807864">
    <w:abstractNumId w:val="15"/>
    <w:lvlOverride w:ilvl="0">
      <w:startOverride w:val="1"/>
    </w:lvlOverride>
  </w:num>
  <w:num w:numId="31" w16cid:durableId="2038772062">
    <w:abstractNumId w:val="15"/>
    <w:lvlOverride w:ilvl="0">
      <w:startOverride w:val="1"/>
    </w:lvlOverride>
  </w:num>
  <w:num w:numId="32" w16cid:durableId="1011418161">
    <w:abstractNumId w:val="15"/>
    <w:lvlOverride w:ilvl="0">
      <w:startOverride w:val="1"/>
    </w:lvlOverride>
  </w:num>
  <w:num w:numId="33" w16cid:durableId="1504390495">
    <w:abstractNumId w:val="15"/>
    <w:lvlOverride w:ilvl="0">
      <w:startOverride w:val="1"/>
    </w:lvlOverride>
  </w:num>
  <w:num w:numId="34" w16cid:durableId="1462842079">
    <w:abstractNumId w:val="15"/>
    <w:lvlOverride w:ilvl="0">
      <w:startOverride w:val="1"/>
    </w:lvlOverride>
  </w:num>
  <w:num w:numId="35" w16cid:durableId="1367872654">
    <w:abstractNumId w:val="15"/>
    <w:lvlOverride w:ilvl="0">
      <w:startOverride w:val="1"/>
    </w:lvlOverride>
  </w:num>
  <w:num w:numId="36" w16cid:durableId="195002324">
    <w:abstractNumId w:val="15"/>
    <w:lvlOverride w:ilvl="0">
      <w:startOverride w:val="1"/>
    </w:lvlOverride>
  </w:num>
  <w:num w:numId="37" w16cid:durableId="108012857">
    <w:abstractNumId w:val="15"/>
    <w:lvlOverride w:ilvl="0">
      <w:startOverride w:val="1"/>
    </w:lvlOverride>
  </w:num>
  <w:num w:numId="38" w16cid:durableId="1642466036">
    <w:abstractNumId w:val="4"/>
  </w:num>
  <w:num w:numId="39" w16cid:durableId="1716586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0C"/>
    <w:rsid w:val="00010827"/>
    <w:rsid w:val="00025CEF"/>
    <w:rsid w:val="00057A7E"/>
    <w:rsid w:val="000805A7"/>
    <w:rsid w:val="000879C0"/>
    <w:rsid w:val="000B4EE9"/>
    <w:rsid w:val="0010440B"/>
    <w:rsid w:val="001618F7"/>
    <w:rsid w:val="00175105"/>
    <w:rsid w:val="0017662B"/>
    <w:rsid w:val="001B046A"/>
    <w:rsid w:val="001B1046"/>
    <w:rsid w:val="001B533C"/>
    <w:rsid w:val="001D38B3"/>
    <w:rsid w:val="001F07E1"/>
    <w:rsid w:val="001F25B8"/>
    <w:rsid w:val="002012BF"/>
    <w:rsid w:val="00206720"/>
    <w:rsid w:val="002105DE"/>
    <w:rsid w:val="0021354E"/>
    <w:rsid w:val="002276AB"/>
    <w:rsid w:val="00230793"/>
    <w:rsid w:val="00232C16"/>
    <w:rsid w:val="00254E51"/>
    <w:rsid w:val="00274EAE"/>
    <w:rsid w:val="00283D0C"/>
    <w:rsid w:val="00294ABA"/>
    <w:rsid w:val="002A5B19"/>
    <w:rsid w:val="002B052A"/>
    <w:rsid w:val="002B2443"/>
    <w:rsid w:val="002D2CFC"/>
    <w:rsid w:val="002D4A5F"/>
    <w:rsid w:val="002E5158"/>
    <w:rsid w:val="0033475C"/>
    <w:rsid w:val="00353EF1"/>
    <w:rsid w:val="00366B0C"/>
    <w:rsid w:val="003841D4"/>
    <w:rsid w:val="00397D1F"/>
    <w:rsid w:val="003A49E3"/>
    <w:rsid w:val="003A4B19"/>
    <w:rsid w:val="003B1C80"/>
    <w:rsid w:val="003D1880"/>
    <w:rsid w:val="003E5603"/>
    <w:rsid w:val="003E6861"/>
    <w:rsid w:val="003F0328"/>
    <w:rsid w:val="003F797A"/>
    <w:rsid w:val="003F7A9B"/>
    <w:rsid w:val="00401990"/>
    <w:rsid w:val="00401BE2"/>
    <w:rsid w:val="00420E8F"/>
    <w:rsid w:val="00426ED8"/>
    <w:rsid w:val="004A1E16"/>
    <w:rsid w:val="004B78BD"/>
    <w:rsid w:val="004E24C3"/>
    <w:rsid w:val="004F603C"/>
    <w:rsid w:val="00500E7F"/>
    <w:rsid w:val="00510BDE"/>
    <w:rsid w:val="005348EF"/>
    <w:rsid w:val="00534B52"/>
    <w:rsid w:val="00551732"/>
    <w:rsid w:val="00564FC4"/>
    <w:rsid w:val="0057284B"/>
    <w:rsid w:val="00577BD2"/>
    <w:rsid w:val="005A378B"/>
    <w:rsid w:val="005B2C7E"/>
    <w:rsid w:val="005B3952"/>
    <w:rsid w:val="005C38EB"/>
    <w:rsid w:val="006021D3"/>
    <w:rsid w:val="006322FB"/>
    <w:rsid w:val="00645A76"/>
    <w:rsid w:val="006568D0"/>
    <w:rsid w:val="00666928"/>
    <w:rsid w:val="006678F5"/>
    <w:rsid w:val="006823A8"/>
    <w:rsid w:val="006A524C"/>
    <w:rsid w:val="006C3989"/>
    <w:rsid w:val="0070543A"/>
    <w:rsid w:val="0075357F"/>
    <w:rsid w:val="007550C0"/>
    <w:rsid w:val="007967D1"/>
    <w:rsid w:val="007B0867"/>
    <w:rsid w:val="007C22DF"/>
    <w:rsid w:val="007C52F1"/>
    <w:rsid w:val="007E0335"/>
    <w:rsid w:val="007E2872"/>
    <w:rsid w:val="00802FF6"/>
    <w:rsid w:val="00806725"/>
    <w:rsid w:val="00813A21"/>
    <w:rsid w:val="0081458F"/>
    <w:rsid w:val="00832262"/>
    <w:rsid w:val="00842137"/>
    <w:rsid w:val="008436E2"/>
    <w:rsid w:val="00867D6F"/>
    <w:rsid w:val="0087042A"/>
    <w:rsid w:val="00875387"/>
    <w:rsid w:val="00881DE8"/>
    <w:rsid w:val="008839E9"/>
    <w:rsid w:val="00885043"/>
    <w:rsid w:val="008A391C"/>
    <w:rsid w:val="008B0107"/>
    <w:rsid w:val="008C4BD1"/>
    <w:rsid w:val="008D0E32"/>
    <w:rsid w:val="00916A06"/>
    <w:rsid w:val="009553E8"/>
    <w:rsid w:val="009632E3"/>
    <w:rsid w:val="009820AD"/>
    <w:rsid w:val="00991482"/>
    <w:rsid w:val="00993EA3"/>
    <w:rsid w:val="00996AB6"/>
    <w:rsid w:val="009A717E"/>
    <w:rsid w:val="009B10D2"/>
    <w:rsid w:val="009D2175"/>
    <w:rsid w:val="009D3076"/>
    <w:rsid w:val="00A0300C"/>
    <w:rsid w:val="00A075F8"/>
    <w:rsid w:val="00A105B4"/>
    <w:rsid w:val="00A169E8"/>
    <w:rsid w:val="00A23283"/>
    <w:rsid w:val="00A23BAD"/>
    <w:rsid w:val="00A612B0"/>
    <w:rsid w:val="00A704E2"/>
    <w:rsid w:val="00A7741A"/>
    <w:rsid w:val="00A9489F"/>
    <w:rsid w:val="00AA4191"/>
    <w:rsid w:val="00AD3A93"/>
    <w:rsid w:val="00B66EC0"/>
    <w:rsid w:val="00BB5408"/>
    <w:rsid w:val="00BC07C0"/>
    <w:rsid w:val="00C100F9"/>
    <w:rsid w:val="00C1036B"/>
    <w:rsid w:val="00C24CE1"/>
    <w:rsid w:val="00C266BE"/>
    <w:rsid w:val="00C27F4B"/>
    <w:rsid w:val="00C6074E"/>
    <w:rsid w:val="00CA2F15"/>
    <w:rsid w:val="00CA4D90"/>
    <w:rsid w:val="00CA6097"/>
    <w:rsid w:val="00CB7794"/>
    <w:rsid w:val="00CD71EC"/>
    <w:rsid w:val="00CE29CD"/>
    <w:rsid w:val="00CF5A32"/>
    <w:rsid w:val="00D256CA"/>
    <w:rsid w:val="00D50FC1"/>
    <w:rsid w:val="00D6246A"/>
    <w:rsid w:val="00D65ED7"/>
    <w:rsid w:val="00D72AB1"/>
    <w:rsid w:val="00D81BCC"/>
    <w:rsid w:val="00DA0410"/>
    <w:rsid w:val="00DA2C6E"/>
    <w:rsid w:val="00DB0051"/>
    <w:rsid w:val="00DC42D7"/>
    <w:rsid w:val="00DC54BE"/>
    <w:rsid w:val="00DD1F12"/>
    <w:rsid w:val="00DE0781"/>
    <w:rsid w:val="00DE0D4F"/>
    <w:rsid w:val="00E03195"/>
    <w:rsid w:val="00E30FDC"/>
    <w:rsid w:val="00E34A36"/>
    <w:rsid w:val="00E429E3"/>
    <w:rsid w:val="00E62082"/>
    <w:rsid w:val="00EA2D3A"/>
    <w:rsid w:val="00EC1B72"/>
    <w:rsid w:val="00EC1E91"/>
    <w:rsid w:val="00EC2277"/>
    <w:rsid w:val="00ED7F64"/>
    <w:rsid w:val="00F03C6B"/>
    <w:rsid w:val="00F13BAC"/>
    <w:rsid w:val="00F222E8"/>
    <w:rsid w:val="00F5215D"/>
    <w:rsid w:val="00F548A2"/>
    <w:rsid w:val="00F6541F"/>
    <w:rsid w:val="00FA70CF"/>
    <w:rsid w:val="00FD3C4F"/>
    <w:rsid w:val="00FE1F27"/>
    <w:rsid w:val="00FE4A2B"/>
    <w:rsid w:val="00FE6794"/>
    <w:rsid w:val="00FF7B22"/>
    <w:rsid w:val="1A0F8A57"/>
    <w:rsid w:val="4F7B8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28E8"/>
  <w15:chartTrackingRefBased/>
  <w15:docId w15:val="{53FC8885-5D2D-4E58-A23F-C9E78038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43"/>
    <w:rPr>
      <w:kern w:val="2"/>
      <w14:ligatures w14:val="standardContextual"/>
    </w:rPr>
  </w:style>
  <w:style w:type="paragraph" w:styleId="Heading1">
    <w:name w:val="heading 1"/>
    <w:basedOn w:val="Normal"/>
    <w:next w:val="Normal"/>
    <w:link w:val="Heading1Char"/>
    <w:uiPriority w:val="9"/>
    <w:qFormat/>
    <w:rsid w:val="004B78BD"/>
    <w:pPr>
      <w:keepNext/>
      <w:keepLines/>
      <w:spacing w:before="240"/>
      <w:outlineLvl w:val="0"/>
    </w:pPr>
    <w:rPr>
      <w:rFonts w:eastAsiaTheme="majorEastAsia" w:cstheme="majorBidi"/>
      <w:b/>
      <w:color w:val="0072CE"/>
      <w:sz w:val="44"/>
      <w:szCs w:val="32"/>
    </w:rPr>
  </w:style>
  <w:style w:type="paragraph" w:styleId="Heading2">
    <w:name w:val="heading 2"/>
    <w:basedOn w:val="Normal"/>
    <w:link w:val="Heading2Char"/>
    <w:uiPriority w:val="9"/>
    <w:unhideWhenUsed/>
    <w:qFormat/>
    <w:rsid w:val="004B78BD"/>
    <w:pPr>
      <w:spacing w:before="280" w:after="120"/>
      <w:outlineLvl w:val="1"/>
    </w:pPr>
    <w:rPr>
      <w:rFonts w:eastAsia="Arial" w:cs="Arial"/>
      <w:bCs/>
      <w:color w:val="0072CE"/>
      <w:sz w:val="36"/>
      <w:szCs w:val="28"/>
    </w:rPr>
  </w:style>
  <w:style w:type="paragraph" w:styleId="Heading3">
    <w:name w:val="heading 3"/>
    <w:basedOn w:val="Normal"/>
    <w:next w:val="Normal"/>
    <w:link w:val="Heading3Char"/>
    <w:uiPriority w:val="9"/>
    <w:unhideWhenUsed/>
    <w:qFormat/>
    <w:rsid w:val="004B78BD"/>
    <w:pPr>
      <w:keepNext/>
      <w:keepLines/>
      <w:spacing w:before="320" w:after="80"/>
      <w:outlineLvl w:val="2"/>
    </w:pPr>
    <w:rPr>
      <w:rFonts w:eastAsiaTheme="majorEastAsia" w:cstheme="majorBidi"/>
      <w:color w:val="53565A"/>
      <w:sz w:val="32"/>
      <w:szCs w:val="24"/>
    </w:rPr>
  </w:style>
  <w:style w:type="paragraph" w:styleId="Heading4">
    <w:name w:val="heading 4"/>
    <w:basedOn w:val="Normal"/>
    <w:next w:val="Normal"/>
    <w:link w:val="Heading4Char"/>
    <w:uiPriority w:val="9"/>
    <w:unhideWhenUsed/>
    <w:qFormat/>
    <w:rsid w:val="004B78BD"/>
    <w:pPr>
      <w:keepNext/>
      <w:keepLines/>
      <w:spacing w:before="240" w:after="120"/>
      <w:outlineLvl w:val="3"/>
    </w:pPr>
    <w:rPr>
      <w:rFonts w:eastAsiaTheme="majorEastAsia" w:cstheme="majorBidi"/>
      <w:b/>
      <w:i/>
      <w:iCs/>
      <w:sz w:val="28"/>
    </w:rPr>
  </w:style>
  <w:style w:type="paragraph" w:styleId="Heading5">
    <w:name w:val="heading 5"/>
    <w:basedOn w:val="Normal"/>
    <w:next w:val="Normal"/>
    <w:link w:val="Heading5Char"/>
    <w:uiPriority w:val="9"/>
    <w:unhideWhenUsed/>
    <w:qFormat/>
    <w:rsid w:val="004B78BD"/>
    <w:pPr>
      <w:keepNext/>
      <w:keepLines/>
      <w:spacing w:after="120"/>
      <w:outlineLvl w:val="4"/>
    </w:pPr>
    <w:rPr>
      <w:rFonts w:eastAsiaTheme="majorEastAsia" w:cstheme="majorBidi"/>
      <w:b/>
      <w:sz w:val="24"/>
    </w:rPr>
  </w:style>
  <w:style w:type="character" w:default="1" w:styleId="DefaultParagraphFont">
    <w:name w:val="Default Paragraph Font"/>
    <w:uiPriority w:val="1"/>
    <w:semiHidden/>
    <w:unhideWhenUsed/>
    <w:rsid w:val="002B24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443"/>
  </w:style>
  <w:style w:type="paragraph" w:styleId="Header">
    <w:name w:val="header"/>
    <w:basedOn w:val="Normal"/>
    <w:link w:val="HeaderChar"/>
    <w:uiPriority w:val="99"/>
    <w:unhideWhenUsed/>
    <w:rsid w:val="004B78BD"/>
    <w:pPr>
      <w:tabs>
        <w:tab w:val="center" w:pos="4513"/>
        <w:tab w:val="right" w:pos="9026"/>
      </w:tabs>
    </w:pPr>
  </w:style>
  <w:style w:type="character" w:customStyle="1" w:styleId="HeaderChar">
    <w:name w:val="Header Char"/>
    <w:basedOn w:val="DefaultParagraphFont"/>
    <w:link w:val="Header"/>
    <w:uiPriority w:val="99"/>
    <w:rsid w:val="004B78BD"/>
    <w:rPr>
      <w:rFonts w:ascii="Arial" w:hAnsi="Arial"/>
    </w:rPr>
  </w:style>
  <w:style w:type="paragraph" w:styleId="Footer">
    <w:name w:val="footer"/>
    <w:basedOn w:val="Normal"/>
    <w:link w:val="FooterChar"/>
    <w:uiPriority w:val="99"/>
    <w:unhideWhenUsed/>
    <w:rsid w:val="004B78BD"/>
    <w:pPr>
      <w:tabs>
        <w:tab w:val="center" w:pos="4513"/>
        <w:tab w:val="right" w:pos="9026"/>
      </w:tabs>
    </w:pPr>
  </w:style>
  <w:style w:type="character" w:customStyle="1" w:styleId="FooterChar">
    <w:name w:val="Footer Char"/>
    <w:basedOn w:val="DefaultParagraphFont"/>
    <w:link w:val="Footer"/>
    <w:uiPriority w:val="99"/>
    <w:rsid w:val="004B78BD"/>
    <w:rPr>
      <w:rFonts w:ascii="Arial" w:hAnsi="Arial"/>
    </w:rPr>
  </w:style>
  <w:style w:type="paragraph" w:styleId="FootnoteText">
    <w:name w:val="footnote text"/>
    <w:basedOn w:val="Normal"/>
    <w:link w:val="FootnoteTextChar"/>
    <w:uiPriority w:val="99"/>
    <w:semiHidden/>
    <w:unhideWhenUsed/>
    <w:rsid w:val="004B78BD"/>
    <w:pPr>
      <w:spacing w:after="0"/>
    </w:pPr>
    <w:rPr>
      <w:sz w:val="20"/>
      <w:szCs w:val="20"/>
    </w:rPr>
  </w:style>
  <w:style w:type="character" w:customStyle="1" w:styleId="FootnoteTextChar">
    <w:name w:val="Footnote Text Char"/>
    <w:basedOn w:val="DefaultParagraphFont"/>
    <w:link w:val="FootnoteText"/>
    <w:uiPriority w:val="99"/>
    <w:semiHidden/>
    <w:rsid w:val="004B78BD"/>
    <w:rPr>
      <w:rFonts w:ascii="Arial" w:hAnsi="Arial"/>
      <w:sz w:val="20"/>
      <w:szCs w:val="20"/>
    </w:rPr>
  </w:style>
  <w:style w:type="character" w:styleId="FootnoteReference">
    <w:name w:val="footnote reference"/>
    <w:basedOn w:val="DefaultParagraphFont"/>
    <w:uiPriority w:val="99"/>
    <w:semiHidden/>
    <w:unhideWhenUsed/>
    <w:rsid w:val="004B78BD"/>
    <w:rPr>
      <w:vertAlign w:val="superscript"/>
    </w:rPr>
  </w:style>
  <w:style w:type="paragraph" w:styleId="ListParagraph">
    <w:name w:val="List Paragraph"/>
    <w:basedOn w:val="Normal"/>
    <w:link w:val="ListParagraphChar"/>
    <w:uiPriority w:val="1"/>
    <w:qFormat/>
    <w:rsid w:val="004B78BD"/>
    <w:pPr>
      <w:numPr>
        <w:numId w:val="14"/>
      </w:numPr>
    </w:pPr>
    <w:rPr>
      <w:rFonts w:eastAsia="Arial" w:cs="Arial"/>
    </w:rPr>
  </w:style>
  <w:style w:type="character" w:customStyle="1" w:styleId="Heading1Char">
    <w:name w:val="Heading 1 Char"/>
    <w:basedOn w:val="DefaultParagraphFont"/>
    <w:link w:val="Heading1"/>
    <w:uiPriority w:val="9"/>
    <w:rsid w:val="004B78BD"/>
    <w:rPr>
      <w:rFonts w:ascii="Arial" w:eastAsiaTheme="majorEastAsia" w:hAnsi="Arial" w:cstheme="majorBidi"/>
      <w:b/>
      <w:color w:val="0072CE"/>
      <w:sz w:val="44"/>
      <w:szCs w:val="32"/>
    </w:rPr>
  </w:style>
  <w:style w:type="character" w:customStyle="1" w:styleId="Heading2Char">
    <w:name w:val="Heading 2 Char"/>
    <w:basedOn w:val="DefaultParagraphFont"/>
    <w:link w:val="Heading2"/>
    <w:uiPriority w:val="9"/>
    <w:rsid w:val="004B78BD"/>
    <w:rPr>
      <w:rFonts w:ascii="Arial" w:eastAsia="Arial" w:hAnsi="Arial" w:cs="Arial"/>
      <w:bCs/>
      <w:color w:val="0072CE"/>
      <w:sz w:val="36"/>
      <w:szCs w:val="28"/>
    </w:rPr>
  </w:style>
  <w:style w:type="character" w:customStyle="1" w:styleId="Heading3Char">
    <w:name w:val="Heading 3 Char"/>
    <w:basedOn w:val="DefaultParagraphFont"/>
    <w:link w:val="Heading3"/>
    <w:uiPriority w:val="9"/>
    <w:rsid w:val="004B78BD"/>
    <w:rPr>
      <w:rFonts w:ascii="Arial" w:eastAsiaTheme="majorEastAsia" w:hAnsi="Arial" w:cstheme="majorBidi"/>
      <w:color w:val="53565A"/>
      <w:sz w:val="32"/>
      <w:szCs w:val="24"/>
    </w:rPr>
  </w:style>
  <w:style w:type="character" w:customStyle="1" w:styleId="Heading4Char">
    <w:name w:val="Heading 4 Char"/>
    <w:basedOn w:val="DefaultParagraphFont"/>
    <w:link w:val="Heading4"/>
    <w:uiPriority w:val="9"/>
    <w:rsid w:val="004B78BD"/>
    <w:rPr>
      <w:rFonts w:ascii="Arial" w:eastAsiaTheme="majorEastAsia" w:hAnsi="Arial" w:cstheme="majorBidi"/>
      <w:b/>
      <w:i/>
      <w:iCs/>
      <w:sz w:val="28"/>
    </w:rPr>
  </w:style>
  <w:style w:type="character" w:customStyle="1" w:styleId="Heading5Char">
    <w:name w:val="Heading 5 Char"/>
    <w:basedOn w:val="DefaultParagraphFont"/>
    <w:link w:val="Heading5"/>
    <w:uiPriority w:val="9"/>
    <w:rsid w:val="004B78BD"/>
    <w:rPr>
      <w:rFonts w:ascii="Arial" w:eastAsiaTheme="majorEastAsia" w:hAnsi="Arial" w:cstheme="majorBidi"/>
      <w:b/>
      <w:sz w:val="24"/>
    </w:rPr>
  </w:style>
  <w:style w:type="character" w:customStyle="1" w:styleId="ListParagraphChar">
    <w:name w:val="List Paragraph Char"/>
    <w:basedOn w:val="DefaultParagraphFont"/>
    <w:link w:val="ListParagraph"/>
    <w:uiPriority w:val="1"/>
    <w:rsid w:val="004B78BD"/>
    <w:rPr>
      <w:rFonts w:ascii="Arial" w:eastAsia="Arial" w:hAnsi="Arial" w:cs="Arial"/>
    </w:rPr>
  </w:style>
  <w:style w:type="paragraph" w:customStyle="1" w:styleId="ListPara2">
    <w:name w:val="List Para 2"/>
    <w:basedOn w:val="ListParagraph"/>
    <w:link w:val="ListPara2Char"/>
    <w:rsid w:val="004B78BD"/>
    <w:pPr>
      <w:numPr>
        <w:numId w:val="0"/>
      </w:numPr>
      <w:tabs>
        <w:tab w:val="num" w:pos="720"/>
      </w:tabs>
      <w:ind w:left="794" w:hanging="720"/>
    </w:pPr>
  </w:style>
  <w:style w:type="character" w:customStyle="1" w:styleId="ListPara2Char">
    <w:name w:val="List Para 2 Char"/>
    <w:basedOn w:val="ListParagraphChar"/>
    <w:link w:val="ListPara2"/>
    <w:rsid w:val="004B78BD"/>
    <w:rPr>
      <w:rFonts w:ascii="Arial" w:eastAsia="Arial" w:hAnsi="Arial" w:cs="Arial"/>
    </w:rPr>
  </w:style>
  <w:style w:type="paragraph" w:styleId="BodyText">
    <w:name w:val="Body Text"/>
    <w:basedOn w:val="Normal"/>
    <w:link w:val="BodyTextChar"/>
    <w:uiPriority w:val="1"/>
    <w:qFormat/>
    <w:rsid w:val="004B78BD"/>
    <w:rPr>
      <w:rFonts w:eastAsia="Arial" w:cs="Arial"/>
    </w:rPr>
  </w:style>
  <w:style w:type="character" w:customStyle="1" w:styleId="BodyTextChar">
    <w:name w:val="Body Text Char"/>
    <w:basedOn w:val="DefaultParagraphFont"/>
    <w:link w:val="BodyText"/>
    <w:uiPriority w:val="1"/>
    <w:rsid w:val="004B78BD"/>
    <w:rPr>
      <w:rFonts w:ascii="Arial" w:eastAsia="Arial" w:hAnsi="Arial" w:cs="Arial"/>
    </w:rPr>
  </w:style>
  <w:style w:type="paragraph" w:customStyle="1" w:styleId="TableParagraph">
    <w:name w:val="Table Paragraph"/>
    <w:basedOn w:val="Normal"/>
    <w:link w:val="TableParagraphChar"/>
    <w:uiPriority w:val="1"/>
    <w:qFormat/>
    <w:rsid w:val="004B78BD"/>
    <w:pPr>
      <w:spacing w:after="40"/>
    </w:pPr>
    <w:rPr>
      <w:rFonts w:eastAsia="Arial" w:cs="Arial"/>
      <w:sz w:val="20"/>
    </w:rPr>
  </w:style>
  <w:style w:type="paragraph" w:customStyle="1" w:styleId="TableHeading">
    <w:name w:val="Table Heading"/>
    <w:basedOn w:val="Normal"/>
    <w:link w:val="TableHeadingChar"/>
    <w:qFormat/>
    <w:rsid w:val="004B78BD"/>
    <w:pPr>
      <w:spacing w:before="240" w:after="120"/>
    </w:pPr>
    <w:rPr>
      <w:b/>
    </w:rPr>
  </w:style>
  <w:style w:type="paragraph" w:customStyle="1" w:styleId="TableColumnHeading">
    <w:name w:val="Table Column Heading"/>
    <w:basedOn w:val="TableParagraph"/>
    <w:link w:val="TableColumnHeadingChar"/>
    <w:qFormat/>
    <w:rsid w:val="004B78BD"/>
    <w:pPr>
      <w:spacing w:before="60" w:after="60"/>
    </w:pPr>
    <w:rPr>
      <w:b/>
      <w:color w:val="53565A"/>
    </w:rPr>
  </w:style>
  <w:style w:type="character" w:customStyle="1" w:styleId="TableHeadingChar">
    <w:name w:val="Table Heading Char"/>
    <w:basedOn w:val="DefaultParagraphFont"/>
    <w:link w:val="TableHeading"/>
    <w:rsid w:val="004B78BD"/>
    <w:rPr>
      <w:rFonts w:ascii="Arial" w:hAnsi="Arial"/>
      <w:b/>
    </w:rPr>
  </w:style>
  <w:style w:type="table" w:styleId="TableGrid">
    <w:name w:val="Table Grid"/>
    <w:basedOn w:val="TableNormal"/>
    <w:uiPriority w:val="39"/>
    <w:rsid w:val="004B78BD"/>
    <w:pPr>
      <w:spacing w:after="0" w:line="240" w:lineRule="auto"/>
      <w:ind w:left="397" w:hanging="39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basedOn w:val="DefaultParagraphFont"/>
    <w:link w:val="TableParagraph"/>
    <w:uiPriority w:val="1"/>
    <w:rsid w:val="004B78BD"/>
    <w:rPr>
      <w:rFonts w:ascii="Arial" w:eastAsia="Arial" w:hAnsi="Arial" w:cs="Arial"/>
      <w:sz w:val="20"/>
    </w:rPr>
  </w:style>
  <w:style w:type="character" w:customStyle="1" w:styleId="TableColumnHeadingChar">
    <w:name w:val="Table Column Heading Char"/>
    <w:basedOn w:val="TableParagraphChar"/>
    <w:link w:val="TableColumnHeading"/>
    <w:rsid w:val="004B78BD"/>
    <w:rPr>
      <w:rFonts w:ascii="Arial" w:eastAsia="Arial" w:hAnsi="Arial" w:cs="Arial"/>
      <w:b/>
      <w:color w:val="53565A"/>
      <w:sz w:val="20"/>
    </w:rPr>
  </w:style>
  <w:style w:type="paragraph" w:customStyle="1" w:styleId="Alphabullet1">
    <w:name w:val="Alpha bullet 1"/>
    <w:basedOn w:val="Normal"/>
    <w:link w:val="Alphabullet1Char"/>
    <w:qFormat/>
    <w:rsid w:val="004B78BD"/>
    <w:pPr>
      <w:numPr>
        <w:numId w:val="17"/>
      </w:numPr>
      <w:tabs>
        <w:tab w:val="left" w:pos="397"/>
      </w:tabs>
      <w:ind w:left="397" w:hanging="397"/>
    </w:pPr>
  </w:style>
  <w:style w:type="paragraph" w:customStyle="1" w:styleId="Roman2">
    <w:name w:val="Roman 2"/>
    <w:basedOn w:val="Normal"/>
    <w:link w:val="Roman2Char"/>
    <w:qFormat/>
    <w:rsid w:val="004B78BD"/>
    <w:pPr>
      <w:spacing w:after="120"/>
      <w:ind w:left="794"/>
    </w:pPr>
  </w:style>
  <w:style w:type="character" w:customStyle="1" w:styleId="Alphabullet1Char">
    <w:name w:val="Alpha bullet 1 Char"/>
    <w:basedOn w:val="DefaultParagraphFont"/>
    <w:link w:val="Alphabullet1"/>
    <w:rsid w:val="004B78BD"/>
    <w:rPr>
      <w:rFonts w:ascii="Arial" w:hAnsi="Arial"/>
    </w:rPr>
  </w:style>
  <w:style w:type="paragraph" w:customStyle="1" w:styleId="TableText">
    <w:name w:val="Table Text"/>
    <w:basedOn w:val="TableHeading"/>
    <w:link w:val="TableTextChar"/>
    <w:qFormat/>
    <w:rsid w:val="004B78BD"/>
    <w:pPr>
      <w:spacing w:before="60" w:after="60"/>
    </w:pPr>
    <w:rPr>
      <w:b w:val="0"/>
      <w:sz w:val="20"/>
      <w:szCs w:val="20"/>
    </w:rPr>
  </w:style>
  <w:style w:type="character" w:customStyle="1" w:styleId="Roman2Char">
    <w:name w:val="Roman 2 Char"/>
    <w:basedOn w:val="DefaultParagraphFont"/>
    <w:link w:val="Roman2"/>
    <w:rsid w:val="004B78BD"/>
    <w:rPr>
      <w:rFonts w:ascii="Arial" w:hAnsi="Arial"/>
    </w:rPr>
  </w:style>
  <w:style w:type="character" w:customStyle="1" w:styleId="TableTextChar">
    <w:name w:val="Table Text Char"/>
    <w:basedOn w:val="TableHeadingChar"/>
    <w:link w:val="TableText"/>
    <w:rsid w:val="004B78BD"/>
    <w:rPr>
      <w:rFonts w:ascii="Arial" w:hAnsi="Arial"/>
      <w:b w:val="0"/>
      <w:sz w:val="20"/>
      <w:szCs w:val="20"/>
    </w:rPr>
  </w:style>
  <w:style w:type="paragraph" w:customStyle="1" w:styleId="Number">
    <w:name w:val="Number"/>
    <w:basedOn w:val="Alphabullet1"/>
    <w:link w:val="NumberChar"/>
    <w:qFormat/>
    <w:rsid w:val="004B78BD"/>
    <w:pPr>
      <w:numPr>
        <w:numId w:val="20"/>
      </w:numPr>
      <w:spacing w:before="120"/>
      <w:ind w:left="397" w:hanging="397"/>
    </w:pPr>
  </w:style>
  <w:style w:type="paragraph" w:styleId="Quote">
    <w:name w:val="Quote"/>
    <w:basedOn w:val="Normal"/>
    <w:next w:val="Normal"/>
    <w:link w:val="QuoteChar"/>
    <w:uiPriority w:val="29"/>
    <w:qFormat/>
    <w:rsid w:val="004B78BD"/>
    <w:pPr>
      <w:ind w:right="397"/>
    </w:pPr>
    <w:rPr>
      <w:iCs/>
    </w:rPr>
  </w:style>
  <w:style w:type="character" w:customStyle="1" w:styleId="QuoteChar">
    <w:name w:val="Quote Char"/>
    <w:basedOn w:val="DefaultParagraphFont"/>
    <w:link w:val="Quote"/>
    <w:uiPriority w:val="29"/>
    <w:rsid w:val="004B78BD"/>
    <w:rPr>
      <w:rFonts w:ascii="Arial" w:hAnsi="Arial"/>
      <w:iCs/>
    </w:rPr>
  </w:style>
  <w:style w:type="character" w:customStyle="1" w:styleId="NumberChar">
    <w:name w:val="Number Char"/>
    <w:basedOn w:val="Alphabullet1Char"/>
    <w:link w:val="Number"/>
    <w:rsid w:val="004B78BD"/>
    <w:rPr>
      <w:rFonts w:ascii="Arial" w:hAnsi="Arial"/>
    </w:rPr>
  </w:style>
  <w:style w:type="character" w:styleId="CommentReference">
    <w:name w:val="annotation reference"/>
    <w:basedOn w:val="DefaultParagraphFont"/>
    <w:uiPriority w:val="99"/>
    <w:semiHidden/>
    <w:unhideWhenUsed/>
    <w:rsid w:val="004B78BD"/>
    <w:rPr>
      <w:sz w:val="16"/>
      <w:szCs w:val="16"/>
    </w:rPr>
  </w:style>
  <w:style w:type="paragraph" w:styleId="CommentText">
    <w:name w:val="annotation text"/>
    <w:basedOn w:val="Normal"/>
    <w:link w:val="CommentTextChar"/>
    <w:uiPriority w:val="99"/>
    <w:semiHidden/>
    <w:unhideWhenUsed/>
    <w:rsid w:val="004B78BD"/>
    <w:rPr>
      <w:sz w:val="20"/>
      <w:szCs w:val="20"/>
    </w:rPr>
  </w:style>
  <w:style w:type="character" w:customStyle="1" w:styleId="CommentTextChar">
    <w:name w:val="Comment Text Char"/>
    <w:basedOn w:val="DefaultParagraphFont"/>
    <w:link w:val="CommentText"/>
    <w:uiPriority w:val="99"/>
    <w:semiHidden/>
    <w:rsid w:val="004B78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B78BD"/>
    <w:rPr>
      <w:b/>
      <w:bCs/>
    </w:rPr>
  </w:style>
  <w:style w:type="character" w:customStyle="1" w:styleId="CommentSubjectChar">
    <w:name w:val="Comment Subject Char"/>
    <w:basedOn w:val="CommentTextChar"/>
    <w:link w:val="CommentSubject"/>
    <w:uiPriority w:val="99"/>
    <w:semiHidden/>
    <w:rsid w:val="004B78BD"/>
    <w:rPr>
      <w:rFonts w:ascii="Arial" w:hAnsi="Arial"/>
      <w:b/>
      <w:bCs/>
      <w:sz w:val="20"/>
      <w:szCs w:val="20"/>
    </w:rPr>
  </w:style>
  <w:style w:type="paragraph" w:customStyle="1" w:styleId="TableAlphaBullet">
    <w:name w:val="Table Alpha Bullet"/>
    <w:basedOn w:val="TableText"/>
    <w:link w:val="TableAlphaBulletChar"/>
    <w:qFormat/>
    <w:rsid w:val="004B78BD"/>
    <w:pPr>
      <w:numPr>
        <w:numId w:val="29"/>
      </w:numPr>
    </w:pPr>
  </w:style>
  <w:style w:type="character" w:customStyle="1" w:styleId="TableAlphaBulletChar">
    <w:name w:val="Table Alpha Bullet Char"/>
    <w:basedOn w:val="TableTextChar"/>
    <w:link w:val="TableAlphaBullet"/>
    <w:rsid w:val="004B78BD"/>
    <w:rPr>
      <w:rFonts w:ascii="Arial" w:hAnsi="Arial"/>
      <w:b w:val="0"/>
      <w:sz w:val="20"/>
      <w:szCs w:val="20"/>
    </w:rPr>
  </w:style>
  <w:style w:type="paragraph" w:customStyle="1" w:styleId="TableNumberBullet">
    <w:name w:val="Table Number Bullet"/>
    <w:basedOn w:val="Number"/>
    <w:link w:val="TableNumberBulletChar"/>
    <w:qFormat/>
    <w:rsid w:val="004B78BD"/>
    <w:pPr>
      <w:numPr>
        <w:numId w:val="0"/>
      </w:numPr>
      <w:spacing w:before="60"/>
      <w:ind w:left="397" w:hanging="397"/>
    </w:pPr>
  </w:style>
  <w:style w:type="character" w:customStyle="1" w:styleId="TableNumberBulletChar">
    <w:name w:val="Table Number Bullet Char"/>
    <w:basedOn w:val="NumberChar"/>
    <w:link w:val="TableNumberBullet"/>
    <w:rsid w:val="004B78BD"/>
    <w:rPr>
      <w:rFonts w:ascii="Arial" w:hAnsi="Arial"/>
    </w:rPr>
  </w:style>
  <w:style w:type="paragraph" w:styleId="NoSpacing">
    <w:name w:val="No Spacing"/>
    <w:uiPriority w:val="1"/>
    <w:qFormat/>
    <w:rsid w:val="004B78BD"/>
    <w:pPr>
      <w:spacing w:after="0" w:line="240" w:lineRule="auto"/>
    </w:pPr>
    <w:rPr>
      <w:rFonts w:ascii="Arial" w:hAnsi="Arial"/>
    </w:rPr>
  </w:style>
  <w:style w:type="paragraph" w:styleId="Title">
    <w:name w:val="Title"/>
    <w:basedOn w:val="Normal"/>
    <w:next w:val="Normal"/>
    <w:link w:val="TitleChar"/>
    <w:uiPriority w:val="10"/>
    <w:rsid w:val="004B78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B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rsid w:val="004B78BD"/>
    <w:rPr>
      <w:i/>
      <w:iCs/>
    </w:rPr>
  </w:style>
  <w:style w:type="paragraph" w:customStyle="1" w:styleId="Bullet">
    <w:name w:val="Bullet"/>
    <w:basedOn w:val="Normal"/>
    <w:link w:val="BulletChar"/>
    <w:qFormat/>
    <w:rsid w:val="004E24C3"/>
    <w:pPr>
      <w:numPr>
        <w:numId w:val="39"/>
      </w:numPr>
      <w:ind w:left="357" w:hanging="357"/>
    </w:pPr>
  </w:style>
  <w:style w:type="character" w:customStyle="1" w:styleId="BulletChar">
    <w:name w:val="Bullet Char"/>
    <w:basedOn w:val="DefaultParagraphFont"/>
    <w:link w:val="Bullet"/>
    <w:rsid w:val="004E24C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2FCA805EF73A9E4DA446442A024CAD97" ma:contentTypeVersion="41" ma:contentTypeDescription="Attachment Document" ma:contentTypeScope="" ma:versionID="52637a8819289cf12355777b9b5dd735">
  <xsd:schema xmlns:xsd="http://www.w3.org/2001/XMLSchema" xmlns:xs="http://www.w3.org/2001/XMLSchema" xmlns:p="http://schemas.microsoft.com/office/2006/metadata/properties" xmlns:ns2="50592e4b-e517-43e2-96ba-362871e052a0" targetNamespace="http://schemas.microsoft.com/office/2006/metadata/properties" ma:root="true" ma:fieldsID="d784820f381701c58761859f5e9d71fb" ns2:_="">
    <xsd:import namespace="50592e4b-e517-43e2-96ba-362871e052a0"/>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ABCRecordTitle xmlns="50592e4b-e517-43e2-96ba-362871e052a0" xsi:nil="true"/>
    <ABCRecordId xmlns="50592e4b-e517-43e2-96ba-362871e052a0">BORG-230900081</ABCRecordId>
    <ABCUpdateToken xmlns="50592e4b-e517-43e2-96ba-362871e052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61B14B3-C9DA-46B8-9434-76643CBE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9937B-F77B-4F28-8183-4B25C6791BA9}">
  <ds:schemaRefs>
    <ds:schemaRef ds:uri="http://schemas.microsoft.com/office/2006/metadata/properties"/>
    <ds:schemaRef ds:uri="http://schemas.microsoft.com/office/infopath/2007/PartnerControls"/>
    <ds:schemaRef ds:uri="50592e4b-e517-43e2-96ba-362871e052a0"/>
  </ds:schemaRefs>
</ds:datastoreItem>
</file>

<file path=customXml/itemProps3.xml><?xml version="1.0" encoding="utf-8"?>
<ds:datastoreItem xmlns:ds="http://schemas.openxmlformats.org/officeDocument/2006/customXml" ds:itemID="{1D5C2159-CB08-43AD-938A-FB7D4E60BD53}">
  <ds:schemaRefs>
    <ds:schemaRef ds:uri="http://schemas.microsoft.com/sharepoint/v3/contenttype/forms"/>
  </ds:schemaRefs>
</ds:datastoreItem>
</file>

<file path=customXml/itemProps4.xml><?xml version="1.0" encoding="utf-8"?>
<ds:datastoreItem xmlns:ds="http://schemas.openxmlformats.org/officeDocument/2006/customXml" ds:itemID="{66A4BDE7-9592-4B40-AFBA-5FB335696F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B - Minister's Guidelines for Heritage Advisor Qualifications and Experience.docx</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Minister's Guidelines for Heritage Advisor Qualifications and Experience.docx</dc:title>
  <dc:subject/>
  <dc:creator>Anoushka Lenffer (DPC)</dc:creator>
  <cp:keywords/>
  <dc:description/>
  <cp:lastModifiedBy>Anoushka Lenffer (DPC)</cp:lastModifiedBy>
  <cp:revision>20</cp:revision>
  <dcterms:created xsi:type="dcterms:W3CDTF">2023-12-15T00:31:00Z</dcterms:created>
  <dcterms:modified xsi:type="dcterms:W3CDTF">2024-03-25T04:25:00Z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2023-08-01T03:19:44Z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97060724-cb3b-4c62-a137-ca59460a1930</vt:lpwstr>
  </property>
  <property fmtid="{D5CDD505-2E9C-101B-9397-08002B2CF9AE}" pid="8" name="MSIP_Label_7158ebbd-6c5e-441f-bfc9-4eb8c11e3978_ContentBits">
    <vt:lpwstr>2</vt:lpwstr>
  </property>
  <property fmtid="{D5CDD505-2E9C-101B-9397-08002B2CF9AE}" pid="9" name="ContentTypeId">
    <vt:lpwstr>0x010100ADB6A493CB944449B507A6E62846B95F002FCA805EF73A9E4DA446442A024CAD97</vt:lpwstr>
  </property>
  <property fmtid="{D5CDD505-2E9C-101B-9397-08002B2CF9AE}" pid="10" name="_docset_NoMedatataSyncRequired">
    <vt:lpwstr>False</vt:lpwstr>
  </property>
</Properties>
</file>