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5BEE" w14:textId="197D9D86" w:rsidR="00D14DB4" w:rsidRPr="00DF0D8D" w:rsidRDefault="004B2BD4" w:rsidP="004B2BD4">
      <w:pPr>
        <w:ind w:right="4076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DF0D8D">
        <w:rPr>
          <w:rFonts w:ascii="Arial" w:eastAsia="Times" w:hAnsi="Arial" w:cs="Arial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89232CA" wp14:editId="542DA9F3">
            <wp:simplePos x="0" y="0"/>
            <wp:positionH relativeFrom="page">
              <wp:posOffset>0</wp:posOffset>
            </wp:positionH>
            <wp:positionV relativeFrom="page">
              <wp:posOffset>-36830</wp:posOffset>
            </wp:positionV>
            <wp:extent cx="7555865" cy="10699115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9D5" w:rsidRPr="00DF0D8D">
        <w:rPr>
          <w:rFonts w:ascii="Arial" w:hAnsi="Arial" w:cs="Arial"/>
          <w:b/>
          <w:bCs/>
          <w:color w:val="FFFFFF" w:themeColor="background1"/>
          <w:sz w:val="32"/>
          <w:szCs w:val="32"/>
        </w:rPr>
        <w:t>The</w:t>
      </w:r>
      <w:r w:rsidR="001A6448" w:rsidRPr="00DF0D8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190699" w:rsidRPr="00DF0D8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Minister’s </w:t>
      </w:r>
      <w:r w:rsidR="001A6448" w:rsidRPr="00DF0D8D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Guidelines for Heritage Advisor Qualifications </w:t>
      </w:r>
      <w:r w:rsidR="009829D5" w:rsidRPr="00DF0D8D">
        <w:rPr>
          <w:rFonts w:ascii="Arial" w:hAnsi="Arial" w:cs="Arial"/>
          <w:b/>
          <w:bCs/>
          <w:color w:val="FFFFFF" w:themeColor="background1"/>
          <w:sz w:val="32"/>
          <w:szCs w:val="32"/>
        </w:rPr>
        <w:t>are being revised</w:t>
      </w:r>
    </w:p>
    <w:p w14:paraId="18D45743" w14:textId="77777777" w:rsidR="004B2BD4" w:rsidRDefault="004B2BD4">
      <w:pPr>
        <w:rPr>
          <w:rFonts w:ascii="Arial" w:hAnsi="Arial" w:cs="Arial"/>
          <w:b/>
          <w:bCs/>
        </w:rPr>
      </w:pPr>
    </w:p>
    <w:p w14:paraId="01641997" w14:textId="77777777" w:rsidR="004B2BD4" w:rsidRDefault="004B2BD4">
      <w:pPr>
        <w:rPr>
          <w:rFonts w:ascii="Arial" w:hAnsi="Arial" w:cs="Arial"/>
          <w:b/>
          <w:bCs/>
        </w:rPr>
      </w:pPr>
    </w:p>
    <w:p w14:paraId="4BA573C1" w14:textId="4BFD7C70" w:rsidR="00095566" w:rsidRPr="00043669" w:rsidRDefault="00030B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Feedback is</w:t>
      </w:r>
      <w:r w:rsidR="00E416A7" w:rsidRPr="00190699">
        <w:rPr>
          <w:rFonts w:ascii="Arial" w:hAnsi="Arial" w:cs="Arial"/>
          <w:b/>
          <w:bCs/>
        </w:rPr>
        <w:t xml:space="preserve"> invited </w:t>
      </w:r>
      <w:r w:rsidR="00D30ED9" w:rsidRPr="00190699">
        <w:rPr>
          <w:rFonts w:ascii="Arial" w:hAnsi="Arial" w:cs="Arial"/>
          <w:b/>
          <w:bCs/>
        </w:rPr>
        <w:t xml:space="preserve">on proposed changes to the Minister’s Guidelines </w:t>
      </w:r>
      <w:r w:rsidR="0062418D">
        <w:rPr>
          <w:rFonts w:ascii="Arial" w:hAnsi="Arial" w:cs="Arial"/>
          <w:b/>
          <w:bCs/>
        </w:rPr>
        <w:t>for</w:t>
      </w:r>
      <w:r w:rsidR="00D30ED9" w:rsidRPr="00190699">
        <w:rPr>
          <w:rFonts w:ascii="Arial" w:hAnsi="Arial" w:cs="Arial"/>
          <w:b/>
          <w:bCs/>
        </w:rPr>
        <w:t xml:space="preserve"> Heritage Advisor Qualifications</w:t>
      </w:r>
      <w:r w:rsidR="00043669">
        <w:rPr>
          <w:rFonts w:ascii="Arial" w:hAnsi="Arial" w:cs="Arial"/>
        </w:rPr>
        <w:t>.</w:t>
      </w:r>
    </w:p>
    <w:p w14:paraId="25569918" w14:textId="02D15AEA" w:rsidR="001A6448" w:rsidRPr="00190699" w:rsidRDefault="00043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Heritage Advisors </w:t>
      </w:r>
      <w:r w:rsidR="002840A1">
        <w:rPr>
          <w:rFonts w:ascii="Arial" w:hAnsi="Arial" w:cs="Arial"/>
        </w:rPr>
        <w:t>play</w:t>
      </w:r>
      <w:r>
        <w:rPr>
          <w:rFonts w:ascii="Arial" w:hAnsi="Arial" w:cs="Arial"/>
        </w:rPr>
        <w:t xml:space="preserve"> an important </w:t>
      </w:r>
      <w:r w:rsidR="00856EC3">
        <w:rPr>
          <w:rFonts w:ascii="Arial" w:hAnsi="Arial" w:cs="Arial"/>
        </w:rPr>
        <w:t>role in the protection and management of</w:t>
      </w:r>
      <w:r w:rsidR="00473BA5">
        <w:rPr>
          <w:rFonts w:ascii="Arial" w:hAnsi="Arial" w:cs="Arial"/>
        </w:rPr>
        <w:t xml:space="preserve"> Aboriginal cultural heritage in Victoria. </w:t>
      </w:r>
      <w:r w:rsidR="00982F73" w:rsidRPr="00190699">
        <w:rPr>
          <w:rFonts w:ascii="Arial" w:hAnsi="Arial" w:cs="Arial"/>
        </w:rPr>
        <w:t xml:space="preserve">It is essential that Heritage Advisors have </w:t>
      </w:r>
      <w:r w:rsidR="00856EC3">
        <w:rPr>
          <w:rFonts w:ascii="Arial" w:hAnsi="Arial" w:cs="Arial"/>
        </w:rPr>
        <w:t>appropriate</w:t>
      </w:r>
      <w:r w:rsidR="00982F73" w:rsidRPr="00190699">
        <w:rPr>
          <w:rFonts w:ascii="Arial" w:hAnsi="Arial" w:cs="Arial"/>
        </w:rPr>
        <w:t xml:space="preserve"> expertise and experience</w:t>
      </w:r>
      <w:r w:rsidR="00E45107" w:rsidRPr="00190699">
        <w:rPr>
          <w:rFonts w:ascii="Arial" w:hAnsi="Arial" w:cs="Arial"/>
        </w:rPr>
        <w:t xml:space="preserve">, and that they understand their </w:t>
      </w:r>
      <w:r w:rsidR="00047012">
        <w:rPr>
          <w:rFonts w:ascii="Arial" w:hAnsi="Arial" w:cs="Arial"/>
        </w:rPr>
        <w:t>responsibil</w:t>
      </w:r>
      <w:r w:rsidR="00A35C13">
        <w:rPr>
          <w:rFonts w:ascii="Arial" w:hAnsi="Arial" w:cs="Arial"/>
        </w:rPr>
        <w:t>i</w:t>
      </w:r>
      <w:r w:rsidR="00047012">
        <w:rPr>
          <w:rFonts w:ascii="Arial" w:hAnsi="Arial" w:cs="Arial"/>
        </w:rPr>
        <w:t>ties</w:t>
      </w:r>
      <w:r>
        <w:rPr>
          <w:rFonts w:ascii="Arial" w:hAnsi="Arial" w:cs="Arial"/>
        </w:rPr>
        <w:t xml:space="preserve"> </w:t>
      </w:r>
      <w:r w:rsidRPr="00190699">
        <w:rPr>
          <w:rFonts w:ascii="Arial" w:hAnsi="Arial" w:cs="Arial"/>
        </w:rPr>
        <w:t>to work with R</w:t>
      </w:r>
      <w:r w:rsidR="00492C14">
        <w:rPr>
          <w:rFonts w:ascii="Arial" w:hAnsi="Arial" w:cs="Arial"/>
        </w:rPr>
        <w:t>egistered Aboriginal Partie</w:t>
      </w:r>
      <w:r w:rsidRPr="00190699">
        <w:rPr>
          <w:rFonts w:ascii="Arial" w:hAnsi="Arial" w:cs="Arial"/>
        </w:rPr>
        <w:t xml:space="preserve">s </w:t>
      </w:r>
      <w:r w:rsidR="00492C14">
        <w:rPr>
          <w:rFonts w:ascii="Arial" w:hAnsi="Arial" w:cs="Arial"/>
        </w:rPr>
        <w:t>(RAPs)</w:t>
      </w:r>
      <w:r w:rsidR="00982F73" w:rsidRPr="00190699">
        <w:rPr>
          <w:rFonts w:ascii="Arial" w:hAnsi="Arial" w:cs="Arial"/>
        </w:rPr>
        <w:t>.</w:t>
      </w:r>
      <w:r w:rsidR="00120004">
        <w:rPr>
          <w:rFonts w:ascii="Arial" w:hAnsi="Arial" w:cs="Arial"/>
        </w:rPr>
        <w:t xml:space="preserve"> </w:t>
      </w:r>
    </w:p>
    <w:p w14:paraId="063BE95E" w14:textId="77777777" w:rsidR="001A6448" w:rsidRPr="00190699" w:rsidRDefault="00AF669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35F1" w:rsidRPr="00190699">
        <w:rPr>
          <w:rFonts w:ascii="Arial" w:hAnsi="Arial" w:cs="Arial"/>
        </w:rPr>
        <w:t xml:space="preserve"> person can </w:t>
      </w:r>
      <w:r w:rsidR="000D08C0">
        <w:rPr>
          <w:rFonts w:ascii="Arial" w:hAnsi="Arial" w:cs="Arial"/>
        </w:rPr>
        <w:t xml:space="preserve">only </w:t>
      </w:r>
      <w:r w:rsidR="00E335F1" w:rsidRPr="00190699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engaged as </w:t>
      </w:r>
      <w:r w:rsidR="00E335F1" w:rsidRPr="00190699">
        <w:rPr>
          <w:rFonts w:ascii="Arial" w:hAnsi="Arial" w:cs="Arial"/>
        </w:rPr>
        <w:t>a Heritage Advisor</w:t>
      </w:r>
      <w:r w:rsidR="00451385" w:rsidRPr="00190699">
        <w:rPr>
          <w:rFonts w:ascii="Arial" w:hAnsi="Arial" w:cs="Arial"/>
        </w:rPr>
        <w:t xml:space="preserve"> </w:t>
      </w:r>
      <w:r w:rsidR="000D08C0">
        <w:rPr>
          <w:rFonts w:ascii="Arial" w:hAnsi="Arial" w:cs="Arial"/>
        </w:rPr>
        <w:t xml:space="preserve">if they satisfy either of two </w:t>
      </w:r>
      <w:r w:rsidR="000E5A7A">
        <w:rPr>
          <w:rFonts w:ascii="Arial" w:hAnsi="Arial" w:cs="Arial"/>
        </w:rPr>
        <w:t xml:space="preserve">pathways </w:t>
      </w:r>
      <w:r w:rsidR="00810D32">
        <w:rPr>
          <w:rFonts w:ascii="Arial" w:hAnsi="Arial" w:cs="Arial"/>
        </w:rPr>
        <w:t>set out</w:t>
      </w:r>
      <w:r w:rsidR="00F46204">
        <w:rPr>
          <w:rFonts w:ascii="Arial" w:hAnsi="Arial" w:cs="Arial"/>
        </w:rPr>
        <w:t xml:space="preserve"> in</w:t>
      </w:r>
      <w:r w:rsidR="00451385" w:rsidRPr="00190699">
        <w:rPr>
          <w:rFonts w:ascii="Arial" w:hAnsi="Arial" w:cs="Arial"/>
        </w:rPr>
        <w:t xml:space="preserve"> </w:t>
      </w:r>
      <w:r w:rsidR="00810D32">
        <w:rPr>
          <w:rFonts w:ascii="Arial" w:hAnsi="Arial" w:cs="Arial"/>
        </w:rPr>
        <w:t xml:space="preserve">section </w:t>
      </w:r>
      <w:r w:rsidR="00451385" w:rsidRPr="00190699">
        <w:rPr>
          <w:rFonts w:ascii="Arial" w:hAnsi="Arial" w:cs="Arial"/>
        </w:rPr>
        <w:t xml:space="preserve">189(1) of the </w:t>
      </w:r>
      <w:r w:rsidR="00451385" w:rsidRPr="00190699">
        <w:rPr>
          <w:rFonts w:ascii="Arial" w:hAnsi="Arial" w:cs="Arial"/>
          <w:i/>
          <w:iCs/>
        </w:rPr>
        <w:t>Aboriginal Heritage Act 2006</w:t>
      </w:r>
      <w:r w:rsidR="00451385" w:rsidRPr="00190699">
        <w:rPr>
          <w:rFonts w:ascii="Arial" w:hAnsi="Arial" w:cs="Arial"/>
        </w:rPr>
        <w:t>:</w:t>
      </w:r>
    </w:p>
    <w:p w14:paraId="43745EBD" w14:textId="77777777" w:rsidR="00E335F1" w:rsidRPr="00190699" w:rsidRDefault="00811F6E" w:rsidP="00C371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699">
        <w:rPr>
          <w:rFonts w:ascii="Arial" w:hAnsi="Arial" w:cs="Arial"/>
        </w:rPr>
        <w:t>b</w:t>
      </w:r>
      <w:r w:rsidR="00E335F1" w:rsidRPr="00190699">
        <w:rPr>
          <w:rFonts w:ascii="Arial" w:hAnsi="Arial" w:cs="Arial"/>
        </w:rPr>
        <w:t xml:space="preserve">y being </w:t>
      </w:r>
      <w:r w:rsidR="00E335F1" w:rsidRPr="00190699">
        <w:rPr>
          <w:rFonts w:ascii="Arial" w:hAnsi="Arial" w:cs="Arial"/>
          <w:b/>
          <w:bCs/>
        </w:rPr>
        <w:t>appropriately qualified and experienced in a discipline</w:t>
      </w:r>
      <w:r w:rsidR="00E335F1" w:rsidRPr="00190699">
        <w:rPr>
          <w:rFonts w:ascii="Arial" w:hAnsi="Arial" w:cs="Arial"/>
        </w:rPr>
        <w:t xml:space="preserve"> relevant to the management of Aboriginal </w:t>
      </w:r>
      <w:r w:rsidRPr="00190699">
        <w:rPr>
          <w:rFonts w:ascii="Arial" w:hAnsi="Arial" w:cs="Arial"/>
        </w:rPr>
        <w:t>cultural</w:t>
      </w:r>
      <w:r w:rsidR="00E335F1" w:rsidRPr="00190699">
        <w:rPr>
          <w:rFonts w:ascii="Arial" w:hAnsi="Arial" w:cs="Arial"/>
        </w:rPr>
        <w:t xml:space="preserve"> heritage such as anthropology, archaeology</w:t>
      </w:r>
      <w:r w:rsidR="000558AA" w:rsidRPr="00190699">
        <w:rPr>
          <w:rFonts w:ascii="Arial" w:hAnsi="Arial" w:cs="Arial"/>
        </w:rPr>
        <w:t xml:space="preserve"> or</w:t>
      </w:r>
      <w:r w:rsidR="000B393A" w:rsidRPr="00190699">
        <w:rPr>
          <w:rFonts w:ascii="Arial" w:hAnsi="Arial" w:cs="Arial"/>
        </w:rPr>
        <w:t xml:space="preserve"> </w:t>
      </w:r>
      <w:r w:rsidR="00E335F1" w:rsidRPr="00190699">
        <w:rPr>
          <w:rFonts w:ascii="Arial" w:hAnsi="Arial" w:cs="Arial"/>
        </w:rPr>
        <w:t>history</w:t>
      </w:r>
      <w:r w:rsidRPr="00190699">
        <w:rPr>
          <w:rFonts w:ascii="Arial" w:hAnsi="Arial" w:cs="Arial"/>
        </w:rPr>
        <w:t>; or</w:t>
      </w:r>
    </w:p>
    <w:p w14:paraId="62635D36" w14:textId="77777777" w:rsidR="00E335F1" w:rsidRPr="00190699" w:rsidRDefault="00811F6E" w:rsidP="00C3716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90699">
        <w:rPr>
          <w:rFonts w:ascii="Arial" w:hAnsi="Arial" w:cs="Arial"/>
        </w:rPr>
        <w:t>b</w:t>
      </w:r>
      <w:r w:rsidR="00E335F1" w:rsidRPr="00190699">
        <w:rPr>
          <w:rFonts w:ascii="Arial" w:hAnsi="Arial" w:cs="Arial"/>
        </w:rPr>
        <w:t xml:space="preserve">y having </w:t>
      </w:r>
      <w:r w:rsidR="00E335F1" w:rsidRPr="00190699">
        <w:rPr>
          <w:rFonts w:ascii="Arial" w:hAnsi="Arial" w:cs="Arial"/>
          <w:b/>
          <w:bCs/>
        </w:rPr>
        <w:t>extensive experience or knowledge</w:t>
      </w:r>
      <w:r w:rsidR="00E335F1" w:rsidRPr="00190699">
        <w:rPr>
          <w:rFonts w:ascii="Arial" w:hAnsi="Arial" w:cs="Arial"/>
        </w:rPr>
        <w:t xml:space="preserve"> in relation to the </w:t>
      </w:r>
      <w:r w:rsidRPr="00190699">
        <w:rPr>
          <w:rFonts w:ascii="Arial" w:hAnsi="Arial" w:cs="Arial"/>
        </w:rPr>
        <w:t>management of Aboriginal cultural heritage.</w:t>
      </w:r>
    </w:p>
    <w:p w14:paraId="18FBD7AE" w14:textId="4A267080" w:rsidR="009B4056" w:rsidRPr="00190699" w:rsidRDefault="009B4056" w:rsidP="009B4056">
      <w:pPr>
        <w:rPr>
          <w:rFonts w:ascii="Arial" w:hAnsi="Arial" w:cs="Arial"/>
        </w:rPr>
      </w:pPr>
      <w:r w:rsidRPr="00190699">
        <w:rPr>
          <w:rFonts w:ascii="Arial" w:hAnsi="Arial" w:cs="Arial"/>
        </w:rPr>
        <w:t xml:space="preserve">The Minister for Aboriginal Affairs </w:t>
      </w:r>
      <w:r w:rsidR="00A83F6B" w:rsidRPr="00190699">
        <w:rPr>
          <w:rFonts w:ascii="Arial" w:hAnsi="Arial" w:cs="Arial"/>
        </w:rPr>
        <w:t>would like to</w:t>
      </w:r>
      <w:r w:rsidRPr="00190699">
        <w:rPr>
          <w:rFonts w:ascii="Arial" w:hAnsi="Arial" w:cs="Arial"/>
        </w:rPr>
        <w:t xml:space="preserve"> </w:t>
      </w:r>
      <w:r w:rsidR="004713FF">
        <w:rPr>
          <w:rFonts w:ascii="Arial" w:hAnsi="Arial" w:cs="Arial"/>
        </w:rPr>
        <w:t xml:space="preserve">revise and </w:t>
      </w:r>
      <w:r w:rsidRPr="00190699">
        <w:rPr>
          <w:rFonts w:ascii="Arial" w:hAnsi="Arial" w:cs="Arial"/>
        </w:rPr>
        <w:t>updat</w:t>
      </w:r>
      <w:r w:rsidR="00A83F6B" w:rsidRPr="00190699">
        <w:rPr>
          <w:rFonts w:ascii="Arial" w:hAnsi="Arial" w:cs="Arial"/>
        </w:rPr>
        <w:t>e</w:t>
      </w:r>
      <w:r w:rsidRPr="00190699">
        <w:rPr>
          <w:rFonts w:ascii="Arial" w:hAnsi="Arial" w:cs="Arial"/>
        </w:rPr>
        <w:t xml:space="preserve"> the existing </w:t>
      </w:r>
      <w:r w:rsidR="00856EC3">
        <w:rPr>
          <w:rFonts w:ascii="Arial" w:hAnsi="Arial" w:cs="Arial"/>
        </w:rPr>
        <w:t>G</w:t>
      </w:r>
      <w:r w:rsidRPr="00190699">
        <w:rPr>
          <w:rFonts w:ascii="Arial" w:hAnsi="Arial" w:cs="Arial"/>
        </w:rPr>
        <w:t>uidelines</w:t>
      </w:r>
      <w:r w:rsidR="000E6977" w:rsidRPr="00190699">
        <w:rPr>
          <w:rFonts w:ascii="Arial" w:hAnsi="Arial" w:cs="Arial"/>
        </w:rPr>
        <w:t xml:space="preserve">, </w:t>
      </w:r>
      <w:r w:rsidR="00C64A86" w:rsidRPr="00190699">
        <w:rPr>
          <w:rFonts w:ascii="Arial" w:hAnsi="Arial" w:cs="Arial"/>
        </w:rPr>
        <w:t xml:space="preserve">which currently only address </w:t>
      </w:r>
      <w:r w:rsidR="003B47B2" w:rsidRPr="00190699">
        <w:rPr>
          <w:rFonts w:ascii="Arial" w:hAnsi="Arial" w:cs="Arial"/>
        </w:rPr>
        <w:t xml:space="preserve">the qualifications needed under </w:t>
      </w:r>
      <w:r w:rsidR="00C64A86" w:rsidRPr="00190699">
        <w:rPr>
          <w:rFonts w:ascii="Arial" w:hAnsi="Arial" w:cs="Arial"/>
        </w:rPr>
        <w:t xml:space="preserve">the first pathway. The Minister has </w:t>
      </w:r>
      <w:r w:rsidR="00806E5B" w:rsidRPr="00190699">
        <w:rPr>
          <w:rFonts w:ascii="Arial" w:hAnsi="Arial" w:cs="Arial"/>
        </w:rPr>
        <w:t xml:space="preserve">already </w:t>
      </w:r>
      <w:r w:rsidR="00B94B8D" w:rsidRPr="00190699">
        <w:rPr>
          <w:rFonts w:ascii="Arial" w:hAnsi="Arial" w:cs="Arial"/>
        </w:rPr>
        <w:t xml:space="preserve">consulted with the Victorian Aboriginal </w:t>
      </w:r>
      <w:r w:rsidR="00663C0D" w:rsidRPr="00190699">
        <w:rPr>
          <w:rFonts w:ascii="Arial" w:hAnsi="Arial" w:cs="Arial"/>
        </w:rPr>
        <w:t>H</w:t>
      </w:r>
      <w:r w:rsidR="00B94B8D" w:rsidRPr="00190699">
        <w:rPr>
          <w:rFonts w:ascii="Arial" w:hAnsi="Arial" w:cs="Arial"/>
        </w:rPr>
        <w:t>eritage Council</w:t>
      </w:r>
      <w:r w:rsidR="00C30B7F" w:rsidRPr="00190699">
        <w:rPr>
          <w:rFonts w:ascii="Arial" w:hAnsi="Arial" w:cs="Arial"/>
        </w:rPr>
        <w:t xml:space="preserve"> (VAHC)</w:t>
      </w:r>
      <w:r w:rsidR="00452BF2">
        <w:rPr>
          <w:rFonts w:ascii="Arial" w:hAnsi="Arial" w:cs="Arial"/>
        </w:rPr>
        <w:t>, and</w:t>
      </w:r>
      <w:r w:rsidR="00B94B8D" w:rsidRPr="00190699">
        <w:rPr>
          <w:rFonts w:ascii="Arial" w:hAnsi="Arial" w:cs="Arial"/>
        </w:rPr>
        <w:t xml:space="preserve"> </w:t>
      </w:r>
      <w:r w:rsidR="00A83F6B" w:rsidRPr="00190699">
        <w:rPr>
          <w:rFonts w:ascii="Arial" w:hAnsi="Arial" w:cs="Arial"/>
        </w:rPr>
        <w:t>is</w:t>
      </w:r>
      <w:r w:rsidR="000E6977" w:rsidRPr="00190699">
        <w:rPr>
          <w:rFonts w:ascii="Arial" w:hAnsi="Arial" w:cs="Arial"/>
        </w:rPr>
        <w:t xml:space="preserve"> now</w:t>
      </w:r>
      <w:r w:rsidR="00EF1D02" w:rsidRPr="00190699">
        <w:rPr>
          <w:rFonts w:ascii="Arial" w:hAnsi="Arial" w:cs="Arial"/>
        </w:rPr>
        <w:t xml:space="preserve"> s</w:t>
      </w:r>
      <w:r w:rsidR="00A83F6B" w:rsidRPr="00190699">
        <w:rPr>
          <w:rFonts w:ascii="Arial" w:hAnsi="Arial" w:cs="Arial"/>
        </w:rPr>
        <w:t>eeking fee</w:t>
      </w:r>
      <w:r w:rsidR="00EF1D02" w:rsidRPr="00190699">
        <w:rPr>
          <w:rFonts w:ascii="Arial" w:hAnsi="Arial" w:cs="Arial"/>
        </w:rPr>
        <w:t>d</w:t>
      </w:r>
      <w:r w:rsidR="00A83F6B" w:rsidRPr="00190699">
        <w:rPr>
          <w:rFonts w:ascii="Arial" w:hAnsi="Arial" w:cs="Arial"/>
        </w:rPr>
        <w:t>back f</w:t>
      </w:r>
      <w:r w:rsidR="00EF1D02" w:rsidRPr="00190699">
        <w:rPr>
          <w:rFonts w:ascii="Arial" w:hAnsi="Arial" w:cs="Arial"/>
        </w:rPr>
        <w:t>ro</w:t>
      </w:r>
      <w:r w:rsidR="00A83F6B" w:rsidRPr="00190699">
        <w:rPr>
          <w:rFonts w:ascii="Arial" w:hAnsi="Arial" w:cs="Arial"/>
        </w:rPr>
        <w:t xml:space="preserve">m </w:t>
      </w:r>
      <w:r w:rsidR="00AB0C62">
        <w:rPr>
          <w:rFonts w:ascii="Arial" w:hAnsi="Arial" w:cs="Arial"/>
        </w:rPr>
        <w:t>RAP</w:t>
      </w:r>
      <w:r w:rsidR="00EF1D02" w:rsidRPr="00190699">
        <w:rPr>
          <w:rFonts w:ascii="Arial" w:hAnsi="Arial" w:cs="Arial"/>
        </w:rPr>
        <w:t>s</w:t>
      </w:r>
      <w:r w:rsidR="00452BF2">
        <w:rPr>
          <w:rFonts w:ascii="Arial" w:hAnsi="Arial" w:cs="Arial"/>
        </w:rPr>
        <w:t xml:space="preserve"> and </w:t>
      </w:r>
      <w:r w:rsidR="00EF1D02" w:rsidRPr="00190699">
        <w:rPr>
          <w:rFonts w:ascii="Arial" w:hAnsi="Arial" w:cs="Arial"/>
        </w:rPr>
        <w:t>Heritage Advisors</w:t>
      </w:r>
      <w:r w:rsidR="00674D23" w:rsidRPr="00190699">
        <w:rPr>
          <w:rFonts w:ascii="Arial" w:hAnsi="Arial" w:cs="Arial"/>
        </w:rPr>
        <w:t>.</w:t>
      </w:r>
    </w:p>
    <w:p w14:paraId="133EE53D" w14:textId="12963CB9" w:rsidR="00856EC3" w:rsidRPr="00190699" w:rsidRDefault="00856EC3" w:rsidP="00856E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revised Guidelines </w:t>
      </w:r>
      <w:r w:rsidR="00CB1C0E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provide a clearer description of the roles and obligations of Heritage Advisors. Another </w:t>
      </w:r>
      <w:r w:rsidR="00C4581F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change is that </w:t>
      </w:r>
      <w:r w:rsidR="00181569">
        <w:rPr>
          <w:rFonts w:ascii="Arial" w:hAnsi="Arial" w:cs="Arial"/>
        </w:rPr>
        <w:t xml:space="preserve">new </w:t>
      </w:r>
      <w:r w:rsidR="00AB0C62">
        <w:rPr>
          <w:rFonts w:ascii="Arial" w:hAnsi="Arial" w:cs="Arial"/>
        </w:rPr>
        <w:t xml:space="preserve">Heritage Advisors </w:t>
      </w:r>
      <w:r w:rsidR="006D51ED">
        <w:rPr>
          <w:rFonts w:ascii="Arial" w:hAnsi="Arial" w:cs="Arial"/>
        </w:rPr>
        <w:t xml:space="preserve">(and </w:t>
      </w:r>
      <w:r w:rsidR="00B44863">
        <w:rPr>
          <w:rFonts w:ascii="Arial" w:hAnsi="Arial" w:cs="Arial"/>
        </w:rPr>
        <w:t>existing Heritage Advisors</w:t>
      </w:r>
      <w:r w:rsidR="006D51ED">
        <w:rPr>
          <w:rFonts w:ascii="Arial" w:hAnsi="Arial" w:cs="Arial"/>
        </w:rPr>
        <w:t xml:space="preserve"> with less than two years </w:t>
      </w:r>
      <w:r w:rsidR="007004BC">
        <w:rPr>
          <w:rFonts w:ascii="Arial" w:hAnsi="Arial" w:cs="Arial"/>
        </w:rPr>
        <w:t>active experience</w:t>
      </w:r>
      <w:r w:rsidR="00876948">
        <w:rPr>
          <w:rFonts w:ascii="Arial" w:hAnsi="Arial" w:cs="Arial"/>
        </w:rPr>
        <w:t xml:space="preserve"> in Victoria</w:t>
      </w:r>
      <w:r w:rsidR="007004BC">
        <w:rPr>
          <w:rFonts w:ascii="Arial" w:hAnsi="Arial" w:cs="Arial"/>
        </w:rPr>
        <w:t xml:space="preserve">) </w:t>
      </w:r>
      <w:r w:rsidR="00AB0C62">
        <w:rPr>
          <w:rFonts w:ascii="Arial" w:hAnsi="Arial" w:cs="Arial"/>
        </w:rPr>
        <w:t xml:space="preserve">will need to provide </w:t>
      </w:r>
      <w:r>
        <w:rPr>
          <w:rFonts w:ascii="Arial" w:hAnsi="Arial" w:cs="Arial"/>
        </w:rPr>
        <w:t xml:space="preserve">two written references, </w:t>
      </w:r>
      <w:r w:rsidR="00F61C8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at least one </w:t>
      </w:r>
      <w:r w:rsidR="00F61C85">
        <w:rPr>
          <w:rFonts w:ascii="Arial" w:hAnsi="Arial" w:cs="Arial"/>
        </w:rPr>
        <w:t xml:space="preserve">being </w:t>
      </w:r>
      <w:r>
        <w:rPr>
          <w:rFonts w:ascii="Arial" w:hAnsi="Arial" w:cs="Arial"/>
        </w:rPr>
        <w:t xml:space="preserve">from a </w:t>
      </w:r>
      <w:r w:rsidR="00AB0C62">
        <w:rPr>
          <w:rFonts w:ascii="Arial" w:hAnsi="Arial" w:cs="Arial"/>
        </w:rPr>
        <w:t>RAP</w:t>
      </w:r>
      <w:r>
        <w:rPr>
          <w:rFonts w:ascii="Arial" w:hAnsi="Arial" w:cs="Arial"/>
        </w:rPr>
        <w:t xml:space="preserve"> or an equivalent organisation in another jurisdiction.</w:t>
      </w:r>
      <w:r w:rsidR="00E62496">
        <w:rPr>
          <w:rFonts w:ascii="Arial" w:hAnsi="Arial" w:cs="Arial"/>
        </w:rPr>
        <w:t xml:space="preserve"> </w:t>
      </w:r>
      <w:r w:rsidR="00167B49">
        <w:rPr>
          <w:rFonts w:ascii="Arial" w:hAnsi="Arial" w:cs="Arial"/>
        </w:rPr>
        <w:t>There will be a six month transitional period during which existing Heritage Advisors must reapply</w:t>
      </w:r>
      <w:r w:rsidR="00163F35">
        <w:rPr>
          <w:rFonts w:ascii="Arial" w:hAnsi="Arial" w:cs="Arial"/>
        </w:rPr>
        <w:t>.</w:t>
      </w:r>
    </w:p>
    <w:p w14:paraId="108DF9BE" w14:textId="782CBC8E" w:rsidR="00982F73" w:rsidRDefault="00856EC3">
      <w:pPr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811F6E" w:rsidRPr="00190699">
        <w:rPr>
          <w:rFonts w:ascii="Arial" w:hAnsi="Arial" w:cs="Arial"/>
        </w:rPr>
        <w:t xml:space="preserve"> proposed </w:t>
      </w:r>
      <w:r w:rsidR="00674D23" w:rsidRPr="00190699">
        <w:rPr>
          <w:rFonts w:ascii="Arial" w:hAnsi="Arial" w:cs="Arial"/>
        </w:rPr>
        <w:t>changes</w:t>
      </w:r>
      <w:r w:rsidR="00811F6E" w:rsidRPr="00190699">
        <w:rPr>
          <w:rFonts w:ascii="Arial" w:hAnsi="Arial" w:cs="Arial"/>
        </w:rPr>
        <w:t xml:space="preserve"> </w:t>
      </w:r>
      <w:r w:rsidR="00E07BC1">
        <w:rPr>
          <w:rFonts w:ascii="Arial" w:hAnsi="Arial" w:cs="Arial"/>
        </w:rPr>
        <w:t xml:space="preserve">to the Minister’s Guidelines </w:t>
      </w:r>
      <w:r w:rsidR="00423340">
        <w:rPr>
          <w:rFonts w:ascii="Arial" w:hAnsi="Arial" w:cs="Arial"/>
        </w:rPr>
        <w:t>are</w:t>
      </w:r>
      <w:r w:rsidR="00811F6E" w:rsidRPr="00190699">
        <w:rPr>
          <w:rFonts w:ascii="Arial" w:hAnsi="Arial" w:cs="Arial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D916AB" w14:paraId="68E71915" w14:textId="77777777" w:rsidTr="00856EC3">
        <w:tc>
          <w:tcPr>
            <w:tcW w:w="3114" w:type="dxa"/>
          </w:tcPr>
          <w:p w14:paraId="33552EA5" w14:textId="7B913C38" w:rsidR="00492C14" w:rsidRDefault="00492C14" w:rsidP="00856E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Pathway 1: </w:t>
            </w:r>
            <w:r>
              <w:rPr>
                <w:rFonts w:ascii="Arial" w:hAnsi="Arial" w:cs="Arial"/>
              </w:rPr>
              <w:br/>
            </w:r>
            <w:r w:rsidR="00AB0C62">
              <w:rPr>
                <w:rFonts w:ascii="Arial" w:hAnsi="Arial" w:cs="Arial"/>
              </w:rPr>
              <w:t xml:space="preserve">via </w:t>
            </w:r>
            <w:r>
              <w:rPr>
                <w:rFonts w:ascii="Arial" w:hAnsi="Arial" w:cs="Arial"/>
              </w:rPr>
              <w:t>qualifications and exper</w:t>
            </w:r>
            <w:r w:rsidR="00856EC3">
              <w:rPr>
                <w:rFonts w:ascii="Arial" w:hAnsi="Arial" w:cs="Arial"/>
              </w:rPr>
              <w:t>ie</w:t>
            </w:r>
            <w:r>
              <w:rPr>
                <w:rFonts w:ascii="Arial" w:hAnsi="Arial" w:cs="Arial"/>
              </w:rPr>
              <w:t>nce</w:t>
            </w:r>
          </w:p>
          <w:p w14:paraId="0C01CFF0" w14:textId="1F67B21D" w:rsidR="00D916AB" w:rsidRDefault="00D916AB" w:rsidP="00856E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E1B6200" w14:textId="7FA5992A" w:rsidR="00D916AB" w:rsidRPr="00492C14" w:rsidRDefault="00AB0C62" w:rsidP="00856EC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</w:t>
            </w:r>
            <w:r w:rsidR="00856EC3">
              <w:rPr>
                <w:rFonts w:ascii="Arial" w:hAnsi="Arial" w:cs="Arial"/>
              </w:rPr>
              <w:t xml:space="preserve"> </w:t>
            </w:r>
            <w:r w:rsidR="00492C14" w:rsidRPr="00492C14">
              <w:rPr>
                <w:rFonts w:ascii="Arial" w:hAnsi="Arial" w:cs="Arial"/>
              </w:rPr>
              <w:t xml:space="preserve">experience element </w:t>
            </w:r>
            <w:r w:rsidR="00856EC3">
              <w:rPr>
                <w:rFonts w:ascii="Arial" w:hAnsi="Arial" w:cs="Arial"/>
              </w:rPr>
              <w:t xml:space="preserve">is </w:t>
            </w:r>
            <w:r w:rsidR="00492C14" w:rsidRPr="00492C14">
              <w:rPr>
                <w:rFonts w:ascii="Arial" w:hAnsi="Arial" w:cs="Arial"/>
              </w:rPr>
              <w:t xml:space="preserve">added </w:t>
            </w:r>
            <w:r w:rsidR="00856EC3">
              <w:rPr>
                <w:rFonts w:ascii="Arial" w:hAnsi="Arial" w:cs="Arial"/>
              </w:rPr>
              <w:noBreakHyphen/>
              <w:t xml:space="preserve"> </w:t>
            </w:r>
            <w:r w:rsidR="00492C14" w:rsidRPr="00492C14">
              <w:rPr>
                <w:rFonts w:ascii="Arial" w:hAnsi="Arial" w:cs="Arial"/>
              </w:rPr>
              <w:t>at</w:t>
            </w:r>
            <w:r w:rsidR="00856EC3">
              <w:rPr>
                <w:rFonts w:ascii="Arial" w:hAnsi="Arial" w:cs="Arial"/>
              </w:rPr>
              <w:t xml:space="preserve"> </w:t>
            </w:r>
            <w:r w:rsidR="00492C14" w:rsidRPr="00492C14">
              <w:rPr>
                <w:rFonts w:ascii="Arial" w:hAnsi="Arial" w:cs="Arial"/>
              </w:rPr>
              <w:t>least</w:t>
            </w:r>
            <w:r w:rsidR="00D916AB" w:rsidRPr="00492C14">
              <w:rPr>
                <w:rFonts w:ascii="Arial" w:hAnsi="Arial" w:cs="Arial"/>
              </w:rPr>
              <w:t xml:space="preserve"> one year full</w:t>
            </w:r>
            <w:r w:rsidR="00856EC3">
              <w:rPr>
                <w:rFonts w:ascii="Arial" w:hAnsi="Arial" w:cs="Arial"/>
              </w:rPr>
              <w:t>-</w:t>
            </w:r>
            <w:r w:rsidR="00D916AB" w:rsidRPr="00492C14">
              <w:rPr>
                <w:rFonts w:ascii="Arial" w:hAnsi="Arial" w:cs="Arial"/>
              </w:rPr>
              <w:t xml:space="preserve">time equivalent </w:t>
            </w:r>
            <w:r w:rsidR="00856EC3">
              <w:rPr>
                <w:rFonts w:ascii="Arial" w:hAnsi="Arial" w:cs="Arial"/>
              </w:rPr>
              <w:t xml:space="preserve">professional </w:t>
            </w:r>
            <w:r w:rsidR="00D916AB" w:rsidRPr="00492C14">
              <w:rPr>
                <w:rFonts w:ascii="Arial" w:hAnsi="Arial" w:cs="Arial"/>
              </w:rPr>
              <w:t>experience in south-eastern Australia</w:t>
            </w:r>
          </w:p>
          <w:p w14:paraId="73F55AC5" w14:textId="18C468DA" w:rsidR="00492C14" w:rsidRDefault="00492C14" w:rsidP="00856EC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</w:t>
            </w:r>
            <w:r w:rsidR="00AB0C62">
              <w:rPr>
                <w:rFonts w:ascii="Arial" w:hAnsi="Arial" w:cs="Arial"/>
              </w:rPr>
              <w:t xml:space="preserve">studies towards a </w:t>
            </w:r>
            <w:r>
              <w:rPr>
                <w:rFonts w:ascii="Arial" w:hAnsi="Arial" w:cs="Arial"/>
              </w:rPr>
              <w:t>qualification don’t include relevant Australian content, then a</w:t>
            </w:r>
            <w:r w:rsidR="00AB0C62">
              <w:rPr>
                <w:rFonts w:ascii="Arial" w:hAnsi="Arial" w:cs="Arial"/>
              </w:rPr>
              <w:t>t minimum a</w:t>
            </w:r>
            <w:r>
              <w:rPr>
                <w:rFonts w:ascii="Arial" w:hAnsi="Arial" w:cs="Arial"/>
              </w:rPr>
              <w:t>n additional year of professional experience is needed</w:t>
            </w:r>
          </w:p>
          <w:p w14:paraId="3C92DAF7" w14:textId="18AAA4B0" w:rsidR="00492C14" w:rsidRPr="00492C14" w:rsidRDefault="00492C14" w:rsidP="00856EC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types of membership </w:t>
            </w:r>
            <w:r w:rsidR="00AB0C6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key professional organisations that can ‘stand in’ for tertiary qualifications</w:t>
            </w:r>
            <w:r w:rsidR="00AB0C62">
              <w:rPr>
                <w:rFonts w:ascii="Arial" w:hAnsi="Arial" w:cs="Arial"/>
              </w:rPr>
              <w:t xml:space="preserve"> are updated</w:t>
            </w:r>
          </w:p>
        </w:tc>
      </w:tr>
      <w:tr w:rsidR="00D916AB" w14:paraId="370C6334" w14:textId="77777777" w:rsidTr="00856EC3">
        <w:tc>
          <w:tcPr>
            <w:tcW w:w="3114" w:type="dxa"/>
          </w:tcPr>
          <w:p w14:paraId="68B6020D" w14:textId="77777777" w:rsidR="00D916AB" w:rsidRDefault="00492C14" w:rsidP="00856E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Pathway 2:</w:t>
            </w:r>
          </w:p>
          <w:p w14:paraId="04BA354A" w14:textId="037FD333" w:rsidR="00492C14" w:rsidRDefault="00AB0C62" w:rsidP="00856E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</w:t>
            </w:r>
            <w:r w:rsidR="00492C14">
              <w:rPr>
                <w:rFonts w:ascii="Arial" w:hAnsi="Arial" w:cs="Arial"/>
              </w:rPr>
              <w:t>extensive experience or knowledge</w:t>
            </w:r>
          </w:p>
        </w:tc>
        <w:tc>
          <w:tcPr>
            <w:tcW w:w="6946" w:type="dxa"/>
          </w:tcPr>
          <w:p w14:paraId="762EB0BF" w14:textId="77777777" w:rsidR="00492C14" w:rsidRDefault="00492C14" w:rsidP="00856EC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‘extensive experience or knowledge’ looks like, including:</w:t>
            </w:r>
          </w:p>
          <w:p w14:paraId="2AB38AB9" w14:textId="30A23C1E" w:rsidR="00492C14" w:rsidRDefault="00492C14" w:rsidP="00856EC3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607"/>
              <w:rPr>
                <w:rFonts w:ascii="Arial" w:hAnsi="Arial" w:cs="Arial"/>
              </w:rPr>
            </w:pPr>
            <w:r w:rsidRPr="00190699">
              <w:rPr>
                <w:rFonts w:ascii="Arial" w:hAnsi="Arial" w:cs="Arial"/>
              </w:rPr>
              <w:t>extensive cultural knowledge</w:t>
            </w:r>
          </w:p>
          <w:p w14:paraId="0EA5CA73" w14:textId="475FEE82" w:rsidR="00492C14" w:rsidRDefault="007E55C5" w:rsidP="00856EC3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6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</w:t>
            </w:r>
            <w:r w:rsidR="00492C14" w:rsidRPr="00190699">
              <w:rPr>
                <w:rFonts w:ascii="Arial" w:hAnsi="Arial" w:cs="Arial"/>
              </w:rPr>
              <w:t xml:space="preserve"> three years relevant work experience</w:t>
            </w:r>
            <w:r w:rsidR="00492C14">
              <w:rPr>
                <w:rFonts w:ascii="Arial" w:hAnsi="Arial" w:cs="Arial"/>
              </w:rPr>
              <w:t>,</w:t>
            </w:r>
            <w:r w:rsidR="00492C14" w:rsidRPr="00190699">
              <w:rPr>
                <w:rFonts w:ascii="Arial" w:hAnsi="Arial" w:cs="Arial"/>
              </w:rPr>
              <w:t xml:space="preserve"> and </w:t>
            </w:r>
          </w:p>
          <w:p w14:paraId="030E78AB" w14:textId="77777777" w:rsidR="00D916AB" w:rsidRDefault="00492C14" w:rsidP="00856EC3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607"/>
              <w:rPr>
                <w:rFonts w:ascii="Arial" w:hAnsi="Arial" w:cs="Arial"/>
              </w:rPr>
            </w:pPr>
            <w:r w:rsidRPr="00190699">
              <w:rPr>
                <w:rFonts w:ascii="Arial" w:hAnsi="Arial" w:cs="Arial"/>
              </w:rPr>
              <w:t>a capacity to oversee or prepare written reports</w:t>
            </w:r>
          </w:p>
          <w:p w14:paraId="769B189E" w14:textId="2FD021E0" w:rsidR="00492C14" w:rsidRPr="00492C14" w:rsidRDefault="00492C14" w:rsidP="00856EC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FP-SR </w:t>
            </w:r>
            <w:r w:rsidR="00AB0C62">
              <w:rPr>
                <w:rFonts w:ascii="Arial" w:hAnsi="Arial" w:cs="Arial"/>
              </w:rPr>
              <w:t>must</w:t>
            </w:r>
            <w:r>
              <w:rPr>
                <w:rFonts w:ascii="Arial" w:hAnsi="Arial" w:cs="Arial"/>
              </w:rPr>
              <w:t xml:space="preserve"> seek the advice of the Victorian Aboriginal Heritage Council on </w:t>
            </w:r>
            <w:r w:rsidR="008E0D0C">
              <w:rPr>
                <w:rFonts w:ascii="Arial" w:hAnsi="Arial" w:cs="Arial"/>
              </w:rPr>
              <w:t xml:space="preserve">these </w:t>
            </w:r>
            <w:r>
              <w:rPr>
                <w:rFonts w:ascii="Arial" w:hAnsi="Arial" w:cs="Arial"/>
              </w:rPr>
              <w:t>applications</w:t>
            </w:r>
            <w:r w:rsidR="008E0D0C">
              <w:rPr>
                <w:rFonts w:ascii="Arial" w:hAnsi="Arial" w:cs="Arial"/>
              </w:rPr>
              <w:t>.</w:t>
            </w:r>
          </w:p>
        </w:tc>
      </w:tr>
    </w:tbl>
    <w:p w14:paraId="645C0E93" w14:textId="64B8DF67" w:rsidR="00CB1C0E" w:rsidRPr="00AA01C5" w:rsidRDefault="00CB1C0E" w:rsidP="00772DA0">
      <w:pPr>
        <w:spacing w:after="80"/>
        <w:rPr>
          <w:rFonts w:ascii="Arial" w:hAnsi="Arial" w:cs="Arial"/>
        </w:rPr>
      </w:pPr>
      <w:r w:rsidRPr="00AA01C5">
        <w:rPr>
          <w:rFonts w:ascii="Arial" w:hAnsi="Arial" w:cs="Arial"/>
        </w:rPr>
        <w:t>or more informatio</w:t>
      </w:r>
      <w:r w:rsidR="00860A08" w:rsidRPr="00AA01C5">
        <w:rPr>
          <w:rFonts w:ascii="Arial" w:hAnsi="Arial" w:cs="Arial"/>
        </w:rPr>
        <w:t xml:space="preserve">n, </w:t>
      </w:r>
      <w:r w:rsidR="004650C3" w:rsidRPr="00AA01C5">
        <w:rPr>
          <w:rFonts w:ascii="Arial" w:hAnsi="Arial" w:cs="Arial"/>
        </w:rPr>
        <w:t xml:space="preserve">and to view the proposed revised Guidelines, </w:t>
      </w:r>
      <w:r w:rsidRPr="00AA01C5">
        <w:rPr>
          <w:rFonts w:ascii="Arial" w:hAnsi="Arial" w:cs="Arial"/>
        </w:rPr>
        <w:t xml:space="preserve">go to </w:t>
      </w:r>
      <w:bookmarkStart w:id="0" w:name="_Hlk102476081"/>
      <w:r w:rsidR="004D657E">
        <w:rPr>
          <w:rFonts w:ascii="Arial" w:hAnsi="Arial" w:cs="Arial"/>
        </w:rPr>
        <w:fldChar w:fldCharType="begin"/>
      </w:r>
      <w:r w:rsidR="004D657E">
        <w:rPr>
          <w:rFonts w:ascii="Arial" w:hAnsi="Arial" w:cs="Arial"/>
        </w:rPr>
        <w:instrText xml:space="preserve"> HYPERLINK "</w:instrText>
      </w:r>
      <w:r w:rsidR="004D657E" w:rsidRPr="004D657E">
        <w:rPr>
          <w:rFonts w:ascii="Arial" w:hAnsi="Arial" w:cs="Arial"/>
        </w:rPr>
        <w:instrText>https://www.firstpeoplesrelations.vic.gov.au/guidance-for-heritage-advisors-changing</w:instrText>
      </w:r>
      <w:r w:rsidR="004D657E">
        <w:rPr>
          <w:rFonts w:ascii="Arial" w:hAnsi="Arial" w:cs="Arial"/>
        </w:rPr>
        <w:instrText xml:space="preserve">" </w:instrText>
      </w:r>
      <w:r w:rsidR="004D657E">
        <w:rPr>
          <w:rFonts w:ascii="Arial" w:hAnsi="Arial" w:cs="Arial"/>
        </w:rPr>
        <w:fldChar w:fldCharType="separate"/>
      </w:r>
      <w:r w:rsidR="004D657E" w:rsidRPr="00017CE6">
        <w:rPr>
          <w:rStyle w:val="Hyperlink"/>
          <w:rFonts w:ascii="Arial" w:hAnsi="Arial" w:cs="Arial"/>
        </w:rPr>
        <w:t>https://www.firstpeoplesrelations.vic.gov.au/guidance-for-heritage-advisors-changing</w:t>
      </w:r>
      <w:r w:rsidR="004D657E">
        <w:rPr>
          <w:rFonts w:ascii="Arial" w:hAnsi="Arial" w:cs="Arial"/>
        </w:rPr>
        <w:fldChar w:fldCharType="end"/>
      </w:r>
      <w:bookmarkEnd w:id="0"/>
      <w:r w:rsidR="004D657E">
        <w:rPr>
          <w:rFonts w:ascii="Arial" w:hAnsi="Arial" w:cs="Arial"/>
        </w:rPr>
        <w:t xml:space="preserve"> </w:t>
      </w:r>
      <w:r w:rsidRPr="00AA01C5">
        <w:rPr>
          <w:rFonts w:ascii="Arial" w:hAnsi="Arial" w:cs="Arial"/>
        </w:rPr>
        <w:t xml:space="preserve"> </w:t>
      </w:r>
    </w:p>
    <w:p w14:paraId="4BF186FF" w14:textId="760F3D87" w:rsidR="00E328A8" w:rsidRPr="00473706" w:rsidRDefault="00772DA0" w:rsidP="00772DA0">
      <w:pPr>
        <w:spacing w:after="80"/>
        <w:rPr>
          <w:rFonts w:ascii="Arial" w:hAnsi="Arial" w:cs="Arial"/>
          <w:b/>
          <w:bCs/>
        </w:rPr>
      </w:pPr>
      <w:r w:rsidRPr="00093201">
        <w:rPr>
          <w:rFonts w:ascii="Arial" w:hAnsi="Arial" w:cs="Arial"/>
          <w:b/>
          <w:bCs/>
        </w:rPr>
        <w:t xml:space="preserve">Please </w:t>
      </w:r>
      <w:r w:rsidR="000F25D1">
        <w:rPr>
          <w:rFonts w:ascii="Arial" w:hAnsi="Arial" w:cs="Arial"/>
          <w:b/>
          <w:bCs/>
        </w:rPr>
        <w:t>email</w:t>
      </w:r>
      <w:r w:rsidRPr="00093201">
        <w:rPr>
          <w:rFonts w:ascii="Arial" w:hAnsi="Arial" w:cs="Arial"/>
          <w:b/>
          <w:bCs/>
        </w:rPr>
        <w:t xml:space="preserve"> your feedback </w:t>
      </w:r>
      <w:r w:rsidR="00A86587" w:rsidRPr="00093201">
        <w:rPr>
          <w:rFonts w:ascii="Arial" w:hAnsi="Arial" w:cs="Arial"/>
          <w:b/>
          <w:bCs/>
        </w:rPr>
        <w:t xml:space="preserve">by </w:t>
      </w:r>
      <w:r w:rsidR="00670E8F">
        <w:rPr>
          <w:rFonts w:ascii="Arial" w:hAnsi="Arial" w:cs="Arial"/>
          <w:b/>
          <w:bCs/>
          <w:color w:val="0070C0"/>
        </w:rPr>
        <w:t>10 June 2022</w:t>
      </w:r>
      <w:r w:rsidR="000F25D1">
        <w:rPr>
          <w:rFonts w:ascii="Arial" w:hAnsi="Arial" w:cs="Arial"/>
          <w:b/>
          <w:bCs/>
        </w:rPr>
        <w:t xml:space="preserve"> </w:t>
      </w:r>
      <w:r w:rsidRPr="00093201">
        <w:rPr>
          <w:rFonts w:ascii="Arial" w:hAnsi="Arial" w:cs="Arial"/>
          <w:b/>
          <w:bCs/>
        </w:rPr>
        <w:t xml:space="preserve">to </w:t>
      </w:r>
      <w:hyperlink r:id="rId10" w:history="1">
        <w:r w:rsidRPr="00093201">
          <w:rPr>
            <w:rStyle w:val="Hyperlink"/>
            <w:rFonts w:ascii="Arial" w:hAnsi="Arial" w:cs="Arial"/>
            <w:b/>
            <w:bCs/>
          </w:rPr>
          <w:t>aboriginal.heritage@dpc.vic.gov.au</w:t>
        </w:r>
      </w:hyperlink>
      <w:r w:rsidRPr="00093201">
        <w:rPr>
          <w:rFonts w:ascii="Arial" w:hAnsi="Arial" w:cs="Arial"/>
          <w:b/>
          <w:bCs/>
        </w:rPr>
        <w:t xml:space="preserve">, or </w:t>
      </w:r>
      <w:r w:rsidR="00E56DD8">
        <w:rPr>
          <w:rFonts w:ascii="Arial" w:hAnsi="Arial" w:cs="Arial"/>
          <w:b/>
          <w:bCs/>
        </w:rPr>
        <w:t xml:space="preserve">send </w:t>
      </w:r>
      <w:r w:rsidRPr="00093201">
        <w:rPr>
          <w:rFonts w:ascii="Arial" w:hAnsi="Arial" w:cs="Arial"/>
          <w:b/>
          <w:bCs/>
        </w:rPr>
        <w:t xml:space="preserve">by post to </w:t>
      </w:r>
      <w:r w:rsidR="00C20AC2">
        <w:rPr>
          <w:rFonts w:ascii="Arial" w:hAnsi="Arial" w:cs="Arial"/>
          <w:b/>
          <w:bCs/>
        </w:rPr>
        <w:t xml:space="preserve">Heritage Services FP-SR, </w:t>
      </w:r>
      <w:r w:rsidRPr="00093201">
        <w:rPr>
          <w:rFonts w:ascii="Arial" w:hAnsi="Arial" w:cs="Arial"/>
          <w:b/>
          <w:bCs/>
        </w:rPr>
        <w:t>GPO Box 4912, Melbourne, VIC 3001</w:t>
      </w:r>
      <w:r w:rsidR="000F25D1">
        <w:rPr>
          <w:rFonts w:ascii="Arial" w:hAnsi="Arial" w:cs="Arial"/>
          <w:b/>
          <w:bCs/>
        </w:rPr>
        <w:t>.</w:t>
      </w:r>
    </w:p>
    <w:sectPr w:rsidR="00E328A8" w:rsidRPr="00473706" w:rsidSect="004B2BD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DE8C" w14:textId="77777777" w:rsidR="003D7D53" w:rsidRDefault="003D7D53" w:rsidP="00AC078A">
      <w:pPr>
        <w:spacing w:after="0" w:line="240" w:lineRule="auto"/>
      </w:pPr>
      <w:r>
        <w:separator/>
      </w:r>
    </w:p>
  </w:endnote>
  <w:endnote w:type="continuationSeparator" w:id="0">
    <w:p w14:paraId="05183E26" w14:textId="77777777" w:rsidR="003D7D53" w:rsidRDefault="003D7D53" w:rsidP="00AC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4ADA" w14:textId="313BAA4B" w:rsidR="00AC078A" w:rsidRDefault="00082A66">
    <w:pPr>
      <w:pStyle w:val="Footer"/>
    </w:pPr>
    <w:r>
      <w:rPr>
        <w:rFonts w:ascii="Arial" w:eastAsia="Times" w:hAnsi="Arial" w:cs="Arial"/>
        <w:noProof/>
        <w:color w:val="000000"/>
      </w:rPr>
      <w:drawing>
        <wp:anchor distT="0" distB="0" distL="114300" distR="114300" simplePos="0" relativeHeight="251659264" behindDoc="1" locked="0" layoutInCell="1" allowOverlap="1" wp14:anchorId="5900C9E0" wp14:editId="5306D005">
          <wp:simplePos x="0" y="0"/>
          <wp:positionH relativeFrom="page">
            <wp:posOffset>0</wp:posOffset>
          </wp:positionH>
          <wp:positionV relativeFrom="paragraph">
            <wp:posOffset>-339725</wp:posOffset>
          </wp:positionV>
          <wp:extent cx="7557770" cy="927735"/>
          <wp:effectExtent l="0" t="0" r="508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7" t="2328" r="3023" b="84295"/>
                  <a:stretch/>
                </pic:blipFill>
                <pic:spPr bwMode="auto">
                  <a:xfrm>
                    <a:off x="0" y="0"/>
                    <a:ext cx="755777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67F1B8" wp14:editId="79B0FE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af8424681a63168e90cf5f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A436E" w14:textId="77777777" w:rsidR="00AC078A" w:rsidRPr="00AC078A" w:rsidRDefault="00AC078A" w:rsidP="00AC078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C078A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7F1B8" id="_x0000_t202" coordsize="21600,21600" o:spt="202" path="m,l,21600r21600,l21600,xe">
              <v:stroke joinstyle="miter"/>
              <v:path gradientshapeok="t" o:connecttype="rect"/>
            </v:shapetype>
            <v:shape id="MSIPCMcaf8424681a63168e90cf5f7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EwNZVu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504A436E" w14:textId="77777777" w:rsidR="00AC078A" w:rsidRPr="00AC078A" w:rsidRDefault="00AC078A" w:rsidP="00AC078A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AC078A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499F" w14:textId="77777777" w:rsidR="003D7D53" w:rsidRDefault="003D7D53" w:rsidP="00AC078A">
      <w:pPr>
        <w:spacing w:after="0" w:line="240" w:lineRule="auto"/>
      </w:pPr>
      <w:r>
        <w:separator/>
      </w:r>
    </w:p>
  </w:footnote>
  <w:footnote w:type="continuationSeparator" w:id="0">
    <w:p w14:paraId="7A8D5615" w14:textId="77777777" w:rsidR="003D7D53" w:rsidRDefault="003D7D53" w:rsidP="00AC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5E3C" w14:textId="77777777" w:rsidR="00733CE0" w:rsidRDefault="004D657E">
    <w:pPr>
      <w:pStyle w:val="Header"/>
    </w:pPr>
    <w:r>
      <w:rPr>
        <w:noProof/>
      </w:rPr>
      <w:pict w14:anchorId="12BBCE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1751" o:spid="_x0000_s2050" type="#_x0000_t136" style="position:absolute;margin-left:0;margin-top:0;width:429.4pt;height:257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4D22" w14:textId="7972F10F" w:rsidR="00AC078A" w:rsidRPr="00082A66" w:rsidRDefault="004D657E" w:rsidP="00082A66">
    <w:pPr>
      <w:pStyle w:val="Header"/>
      <w:rPr>
        <w:rFonts w:ascii="Arial" w:hAnsi="Arial" w:cs="Arial"/>
        <w:color w:val="FFFFFF" w:themeColor="background1"/>
        <w:sz w:val="24"/>
        <w:szCs w:val="24"/>
      </w:rPr>
    </w:pPr>
    <w:r>
      <w:rPr>
        <w:noProof/>
        <w:color w:val="FFFFFF" w:themeColor="background1"/>
      </w:rPr>
      <w:pict w14:anchorId="49E3E8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1752" o:spid="_x0000_s2051" type="#_x0000_t136" style="position:absolute;margin-left:0;margin-top:0;width:429.4pt;height:257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B5B" w14:textId="77777777" w:rsidR="00733CE0" w:rsidRDefault="004D657E">
    <w:pPr>
      <w:pStyle w:val="Header"/>
    </w:pPr>
    <w:r>
      <w:rPr>
        <w:noProof/>
      </w:rPr>
      <w:pict w14:anchorId="161F7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1750" o:spid="_x0000_s2049" type="#_x0000_t136" style="position:absolute;margin-left:0;margin-top:0;width:429.4pt;height:257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5F7"/>
    <w:multiLevelType w:val="hybridMultilevel"/>
    <w:tmpl w:val="1BB20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C997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36F39"/>
    <w:multiLevelType w:val="hybridMultilevel"/>
    <w:tmpl w:val="352662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7DC"/>
    <w:multiLevelType w:val="hybridMultilevel"/>
    <w:tmpl w:val="3F66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36A31"/>
    <w:multiLevelType w:val="hybridMultilevel"/>
    <w:tmpl w:val="2B629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73BD"/>
    <w:multiLevelType w:val="hybridMultilevel"/>
    <w:tmpl w:val="F25AE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48"/>
    <w:rsid w:val="0000370A"/>
    <w:rsid w:val="0001763D"/>
    <w:rsid w:val="00030BEE"/>
    <w:rsid w:val="00040158"/>
    <w:rsid w:val="00043669"/>
    <w:rsid w:val="00047012"/>
    <w:rsid w:val="000558AA"/>
    <w:rsid w:val="00060798"/>
    <w:rsid w:val="00074430"/>
    <w:rsid w:val="00082A66"/>
    <w:rsid w:val="00092422"/>
    <w:rsid w:val="00095566"/>
    <w:rsid w:val="000B2BE0"/>
    <w:rsid w:val="000B393A"/>
    <w:rsid w:val="000D08C0"/>
    <w:rsid w:val="000D3C0D"/>
    <w:rsid w:val="000D54D7"/>
    <w:rsid w:val="000D6E70"/>
    <w:rsid w:val="000E209A"/>
    <w:rsid w:val="000E295A"/>
    <w:rsid w:val="000E5A7A"/>
    <w:rsid w:val="000E6977"/>
    <w:rsid w:val="000F15AF"/>
    <w:rsid w:val="000F25D1"/>
    <w:rsid w:val="000F3C90"/>
    <w:rsid w:val="00106541"/>
    <w:rsid w:val="00120004"/>
    <w:rsid w:val="00163F35"/>
    <w:rsid w:val="00167B49"/>
    <w:rsid w:val="00171293"/>
    <w:rsid w:val="00181569"/>
    <w:rsid w:val="001846F1"/>
    <w:rsid w:val="00190699"/>
    <w:rsid w:val="001955F8"/>
    <w:rsid w:val="001A6448"/>
    <w:rsid w:val="001A7054"/>
    <w:rsid w:val="001B3BDB"/>
    <w:rsid w:val="001C32EC"/>
    <w:rsid w:val="001E054A"/>
    <w:rsid w:val="001E0582"/>
    <w:rsid w:val="001E138B"/>
    <w:rsid w:val="001E63A1"/>
    <w:rsid w:val="001F768E"/>
    <w:rsid w:val="002059EE"/>
    <w:rsid w:val="00211323"/>
    <w:rsid w:val="00213723"/>
    <w:rsid w:val="00213BE9"/>
    <w:rsid w:val="00217EB3"/>
    <w:rsid w:val="002553FD"/>
    <w:rsid w:val="002639CD"/>
    <w:rsid w:val="00267AF8"/>
    <w:rsid w:val="0027525B"/>
    <w:rsid w:val="002840A1"/>
    <w:rsid w:val="00291EFB"/>
    <w:rsid w:val="002A157D"/>
    <w:rsid w:val="002B1972"/>
    <w:rsid w:val="002B305F"/>
    <w:rsid w:val="002B439C"/>
    <w:rsid w:val="002D3055"/>
    <w:rsid w:val="002D5618"/>
    <w:rsid w:val="00305269"/>
    <w:rsid w:val="00327755"/>
    <w:rsid w:val="00366E84"/>
    <w:rsid w:val="00370042"/>
    <w:rsid w:val="00383A5B"/>
    <w:rsid w:val="003942AF"/>
    <w:rsid w:val="00396596"/>
    <w:rsid w:val="003B342E"/>
    <w:rsid w:val="003B47B2"/>
    <w:rsid w:val="003C0294"/>
    <w:rsid w:val="003D471A"/>
    <w:rsid w:val="003D7D53"/>
    <w:rsid w:val="00400CD7"/>
    <w:rsid w:val="00423340"/>
    <w:rsid w:val="004346FE"/>
    <w:rsid w:val="004448FC"/>
    <w:rsid w:val="00451385"/>
    <w:rsid w:val="00452BF2"/>
    <w:rsid w:val="004650C3"/>
    <w:rsid w:val="004713FF"/>
    <w:rsid w:val="00473706"/>
    <w:rsid w:val="00473A6A"/>
    <w:rsid w:val="00473BA5"/>
    <w:rsid w:val="00483D0C"/>
    <w:rsid w:val="004900CE"/>
    <w:rsid w:val="00492C14"/>
    <w:rsid w:val="004A69D2"/>
    <w:rsid w:val="004B2BD4"/>
    <w:rsid w:val="004C347E"/>
    <w:rsid w:val="004D263A"/>
    <w:rsid w:val="004D657E"/>
    <w:rsid w:val="004E1F79"/>
    <w:rsid w:val="0050152C"/>
    <w:rsid w:val="0050218B"/>
    <w:rsid w:val="00502555"/>
    <w:rsid w:val="0053227A"/>
    <w:rsid w:val="00532E12"/>
    <w:rsid w:val="00536678"/>
    <w:rsid w:val="005446BA"/>
    <w:rsid w:val="00545BAF"/>
    <w:rsid w:val="005465A2"/>
    <w:rsid w:val="00546FEB"/>
    <w:rsid w:val="005616F1"/>
    <w:rsid w:val="00567989"/>
    <w:rsid w:val="005726A2"/>
    <w:rsid w:val="00592DD6"/>
    <w:rsid w:val="005C0343"/>
    <w:rsid w:val="0060075D"/>
    <w:rsid w:val="00600EB6"/>
    <w:rsid w:val="00602646"/>
    <w:rsid w:val="0061070F"/>
    <w:rsid w:val="00613CCA"/>
    <w:rsid w:val="0062418D"/>
    <w:rsid w:val="006310BA"/>
    <w:rsid w:val="00635EB8"/>
    <w:rsid w:val="00656CE4"/>
    <w:rsid w:val="00663C0D"/>
    <w:rsid w:val="00666E73"/>
    <w:rsid w:val="00670832"/>
    <w:rsid w:val="00670E8F"/>
    <w:rsid w:val="00674D23"/>
    <w:rsid w:val="00677274"/>
    <w:rsid w:val="00695A4A"/>
    <w:rsid w:val="00696823"/>
    <w:rsid w:val="006A4BDD"/>
    <w:rsid w:val="006B1FC8"/>
    <w:rsid w:val="006D51ED"/>
    <w:rsid w:val="006F6D5A"/>
    <w:rsid w:val="007004BC"/>
    <w:rsid w:val="007128A3"/>
    <w:rsid w:val="00713D46"/>
    <w:rsid w:val="00733CE0"/>
    <w:rsid w:val="007405AF"/>
    <w:rsid w:val="007408C9"/>
    <w:rsid w:val="00753A53"/>
    <w:rsid w:val="00765172"/>
    <w:rsid w:val="00772DA0"/>
    <w:rsid w:val="00772EE3"/>
    <w:rsid w:val="00774D43"/>
    <w:rsid w:val="007E55C5"/>
    <w:rsid w:val="0080490C"/>
    <w:rsid w:val="00806E5B"/>
    <w:rsid w:val="00810D32"/>
    <w:rsid w:val="00811F6E"/>
    <w:rsid w:val="00825D41"/>
    <w:rsid w:val="00856EC3"/>
    <w:rsid w:val="008578AB"/>
    <w:rsid w:val="00857C31"/>
    <w:rsid w:val="00860A08"/>
    <w:rsid w:val="00876948"/>
    <w:rsid w:val="008808B1"/>
    <w:rsid w:val="008877C0"/>
    <w:rsid w:val="0089159E"/>
    <w:rsid w:val="00894125"/>
    <w:rsid w:val="008B6522"/>
    <w:rsid w:val="008D1DBE"/>
    <w:rsid w:val="008D7082"/>
    <w:rsid w:val="008E0D0C"/>
    <w:rsid w:val="008F7834"/>
    <w:rsid w:val="00902CC6"/>
    <w:rsid w:val="00906631"/>
    <w:rsid w:val="009136CC"/>
    <w:rsid w:val="0094256D"/>
    <w:rsid w:val="00954B5A"/>
    <w:rsid w:val="00957EB9"/>
    <w:rsid w:val="009757D9"/>
    <w:rsid w:val="009829D5"/>
    <w:rsid w:val="00982F73"/>
    <w:rsid w:val="009B4056"/>
    <w:rsid w:val="00A12EB1"/>
    <w:rsid w:val="00A27240"/>
    <w:rsid w:val="00A35C13"/>
    <w:rsid w:val="00A53584"/>
    <w:rsid w:val="00A83F6B"/>
    <w:rsid w:val="00A86587"/>
    <w:rsid w:val="00AA01C5"/>
    <w:rsid w:val="00AB0C62"/>
    <w:rsid w:val="00AC078A"/>
    <w:rsid w:val="00AC258D"/>
    <w:rsid w:val="00AD3BA9"/>
    <w:rsid w:val="00AE3D6F"/>
    <w:rsid w:val="00AE64FB"/>
    <w:rsid w:val="00AF6695"/>
    <w:rsid w:val="00B17495"/>
    <w:rsid w:val="00B267A7"/>
    <w:rsid w:val="00B42C9D"/>
    <w:rsid w:val="00B44863"/>
    <w:rsid w:val="00B506C7"/>
    <w:rsid w:val="00B8383B"/>
    <w:rsid w:val="00B8531F"/>
    <w:rsid w:val="00B94B8D"/>
    <w:rsid w:val="00B9589E"/>
    <w:rsid w:val="00BA3C45"/>
    <w:rsid w:val="00BC2F81"/>
    <w:rsid w:val="00BC3262"/>
    <w:rsid w:val="00BD13EB"/>
    <w:rsid w:val="00BF3431"/>
    <w:rsid w:val="00BF46F9"/>
    <w:rsid w:val="00C20AC2"/>
    <w:rsid w:val="00C30B7F"/>
    <w:rsid w:val="00C3716F"/>
    <w:rsid w:val="00C4581F"/>
    <w:rsid w:val="00C5421B"/>
    <w:rsid w:val="00C642E4"/>
    <w:rsid w:val="00C64A86"/>
    <w:rsid w:val="00C732AE"/>
    <w:rsid w:val="00C932C2"/>
    <w:rsid w:val="00CA1823"/>
    <w:rsid w:val="00CB1C0E"/>
    <w:rsid w:val="00CB2873"/>
    <w:rsid w:val="00CB473F"/>
    <w:rsid w:val="00D14DB4"/>
    <w:rsid w:val="00D20ECE"/>
    <w:rsid w:val="00D30ED9"/>
    <w:rsid w:val="00D42A78"/>
    <w:rsid w:val="00D75D14"/>
    <w:rsid w:val="00D81B8B"/>
    <w:rsid w:val="00D916AB"/>
    <w:rsid w:val="00DC1A61"/>
    <w:rsid w:val="00DF0D8D"/>
    <w:rsid w:val="00E07BC1"/>
    <w:rsid w:val="00E21B4B"/>
    <w:rsid w:val="00E328A8"/>
    <w:rsid w:val="00E335F1"/>
    <w:rsid w:val="00E416A7"/>
    <w:rsid w:val="00E45107"/>
    <w:rsid w:val="00E53A22"/>
    <w:rsid w:val="00E56DD8"/>
    <w:rsid w:val="00E570CA"/>
    <w:rsid w:val="00E62496"/>
    <w:rsid w:val="00EB147A"/>
    <w:rsid w:val="00EC22C9"/>
    <w:rsid w:val="00EE4756"/>
    <w:rsid w:val="00EF1D02"/>
    <w:rsid w:val="00EF5386"/>
    <w:rsid w:val="00F234E0"/>
    <w:rsid w:val="00F33501"/>
    <w:rsid w:val="00F37909"/>
    <w:rsid w:val="00F46204"/>
    <w:rsid w:val="00F5124D"/>
    <w:rsid w:val="00F61C85"/>
    <w:rsid w:val="00F73D86"/>
    <w:rsid w:val="00F936EA"/>
    <w:rsid w:val="00FA14E9"/>
    <w:rsid w:val="00FF1FA8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5652F5"/>
  <w15:chartTrackingRefBased/>
  <w15:docId w15:val="{57832EFD-35BE-43E6-B082-E5600CA5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8A"/>
  </w:style>
  <w:style w:type="paragraph" w:styleId="Footer">
    <w:name w:val="footer"/>
    <w:basedOn w:val="Normal"/>
    <w:link w:val="FooterChar"/>
    <w:uiPriority w:val="99"/>
    <w:unhideWhenUsed/>
    <w:rsid w:val="00AC0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25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5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5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932C2"/>
    <w:rPr>
      <w:color w:val="0000FF"/>
      <w:u w:val="single"/>
    </w:rPr>
  </w:style>
  <w:style w:type="table" w:styleId="TableGrid">
    <w:name w:val="Table Grid"/>
    <w:basedOn w:val="TableNormal"/>
    <w:uiPriority w:val="39"/>
    <w:rsid w:val="00D9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original.heritage@dpc.vic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BD288D4-96CD-43C9-B903-4D2C53238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D54B6-DAA9-47D4-9C5F-C4242B31FA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Anoushka Lenffer (DPC)</dc:creator>
  <cp:keywords/>
  <dc:description/>
  <cp:lastModifiedBy>Niamh Whitford (DPC)</cp:lastModifiedBy>
  <cp:revision>2</cp:revision>
  <dcterms:created xsi:type="dcterms:W3CDTF">2022-05-03T03:16:00Z</dcterms:created>
  <dcterms:modified xsi:type="dcterms:W3CDTF">2022-05-03T03:16:00Z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2022-05-03T03:15:18Z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f1329023-858e-4c9b-80d2-b0d1f2034b5c</vt:lpwstr>
  </property>
  <property fmtid="{D5CDD505-2E9C-101B-9397-08002B2CF9AE}" pid="8" name="MSIP_Label_7158ebbd-6c5e-441f-bfc9-4eb8c11e3978_ContentBits">
    <vt:lpwstr>2</vt:lpwstr>
  </property>
</Properties>
</file>